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5F153" w14:textId="77777777" w:rsidR="009C3936" w:rsidRDefault="00000000" w:rsidP="006B1002">
      <w:pPr>
        <w:spacing w:after="0" w:line="276" w:lineRule="auto"/>
        <w:ind w:left="360" w:right="95"/>
        <w:jc w:val="both"/>
      </w:pPr>
      <w:bookmarkStart w:id="0" w:name="_Hlk103256331"/>
      <w:r w:rsidRPr="006B1002">
        <w:rPr>
          <w:rStyle w:val="Strong"/>
          <w:rFonts w:ascii="Arial" w:eastAsia="Times New Roman" w:hAnsi="Arial" w:cs="Arial"/>
          <w:bCs w:val="0"/>
          <w:color w:val="2F5496"/>
          <w:sz w:val="28"/>
          <w:szCs w:val="28"/>
        </w:rPr>
        <w:t>Πολιτική για την επεξεργασία των προσωπικών δεδομένων από την Ανεξάρτητη Αρχή κατά της Διαφθοράς («ΑΑΚΔ»)</w:t>
      </w:r>
    </w:p>
    <w:p w14:paraId="24A7BDAB" w14:textId="77777777" w:rsidR="009C3936" w:rsidRDefault="009C3936" w:rsidP="006B1002">
      <w:pPr>
        <w:spacing w:after="0" w:line="276" w:lineRule="auto"/>
        <w:jc w:val="both"/>
        <w:rPr>
          <w:rFonts w:ascii="Bodoni MT" w:hAnsi="Bodoni MT" w:cs="Cambria"/>
          <w:b/>
          <w:bCs/>
          <w:sz w:val="24"/>
          <w:szCs w:val="24"/>
        </w:rPr>
      </w:pPr>
    </w:p>
    <w:bookmarkEnd w:id="0"/>
    <w:p w14:paraId="52240BA8" w14:textId="77777777" w:rsidR="009C3936" w:rsidRDefault="00000000" w:rsidP="006B1002">
      <w:pPr>
        <w:spacing w:after="0" w:line="276" w:lineRule="auto"/>
        <w:ind w:left="360"/>
        <w:jc w:val="both"/>
      </w:pPr>
      <w:r w:rsidRPr="006B1002">
        <w:rPr>
          <w:rFonts w:ascii="Arial" w:hAnsi="Arial" w:cs="Arial"/>
        </w:rPr>
        <w:t xml:space="preserve">Η </w:t>
      </w:r>
      <w:bookmarkStart w:id="1" w:name="_Hlk103256079"/>
      <w:r w:rsidRPr="006B1002">
        <w:rPr>
          <w:rFonts w:ascii="Arial" w:hAnsi="Arial" w:cs="Arial"/>
        </w:rPr>
        <w:t>συλλογή και επεξεργασία των προσωπικών δεδομένων γίνεται σύμφωνα με τις πρόνοιες του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Νόμου του 2018, («Ν. 125(Ι)/2018») και  του Κανονισμού (ΕΕ) 2016/679 (Γενικός Κανονισμός για την Προστασία Δεδομένων της ΕΕ) («ΓΚΠΔ»).</w:t>
      </w:r>
    </w:p>
    <w:p w14:paraId="4BE01142" w14:textId="77777777" w:rsidR="009C3936" w:rsidRDefault="009C3936" w:rsidP="006B1002">
      <w:pPr>
        <w:spacing w:after="0" w:line="276" w:lineRule="auto"/>
        <w:jc w:val="both"/>
        <w:rPr>
          <w:rFonts w:ascii="Arial" w:hAnsi="Arial" w:cs="Arial"/>
        </w:rPr>
      </w:pPr>
    </w:p>
    <w:p w14:paraId="6E02FA06" w14:textId="77777777" w:rsidR="009C3936" w:rsidRDefault="00000000" w:rsidP="006B1002">
      <w:pPr>
        <w:spacing w:after="0" w:line="276" w:lineRule="auto"/>
        <w:ind w:left="360"/>
        <w:jc w:val="both"/>
      </w:pPr>
      <w:r w:rsidRPr="006B1002">
        <w:rPr>
          <w:rFonts w:ascii="Arial" w:hAnsi="Arial" w:cs="Arial"/>
        </w:rPr>
        <w:t>Οι όροι που απαντώνται στην παρούσα Πολιτική έχουν την έννοια και την ερμηνεία που τους αποδίδουν ο ΓΚΠΔ και ο Ν. 125(Ι)/2018, εάν δεν ερμηνεύονται διαφορετικά για τους σκοπούς της παρούσας πολιτικής.</w:t>
      </w:r>
      <w:bookmarkEnd w:id="1"/>
    </w:p>
    <w:p w14:paraId="033EAB59" w14:textId="77777777" w:rsidR="009C3936" w:rsidRDefault="009C3936" w:rsidP="006B1002">
      <w:pPr>
        <w:spacing w:after="0" w:line="276" w:lineRule="auto"/>
        <w:jc w:val="both"/>
        <w:rPr>
          <w:rFonts w:ascii="Arial" w:hAnsi="Arial" w:cs="Arial"/>
        </w:rPr>
      </w:pPr>
    </w:p>
    <w:p w14:paraId="16402FDB" w14:textId="77777777" w:rsidR="009C3936" w:rsidRDefault="00000000" w:rsidP="006B1002">
      <w:pPr>
        <w:spacing w:after="0" w:line="276" w:lineRule="auto"/>
        <w:ind w:left="360"/>
        <w:jc w:val="both"/>
      </w:pPr>
      <w:r w:rsidRPr="006B1002">
        <w:rPr>
          <w:rFonts w:ascii="Arial" w:hAnsi="Arial" w:cs="Arial"/>
        </w:rPr>
        <w:t>Ο όρος «</w:t>
      </w:r>
      <w:r w:rsidRPr="006B1002">
        <w:rPr>
          <w:rFonts w:ascii="Arial" w:eastAsia="Times New Roman" w:hAnsi="Arial" w:cs="Arial"/>
          <w:b/>
          <w:bCs/>
          <w:i/>
          <w:iCs/>
          <w:color w:val="0070C0"/>
          <w:lang w:eastAsia="el-GR"/>
        </w:rPr>
        <w:t>προσωπικά δεδομένα</w:t>
      </w:r>
      <w:r w:rsidRPr="006B1002">
        <w:rPr>
          <w:rFonts w:ascii="Arial" w:hAnsi="Arial" w:cs="Arial"/>
        </w:rPr>
        <w:t xml:space="preserve">» για τους σκοπούς της παρούσας Πολιτικής είναι κάθε πληροφορία που δύναται να </w:t>
      </w:r>
      <w:proofErr w:type="spellStart"/>
      <w:r w:rsidRPr="006B1002">
        <w:rPr>
          <w:rFonts w:ascii="Arial" w:hAnsi="Arial" w:cs="Arial"/>
        </w:rPr>
        <w:t>ταυτοποιήσει</w:t>
      </w:r>
      <w:proofErr w:type="spellEnd"/>
      <w:r w:rsidRPr="006B1002">
        <w:rPr>
          <w:rFonts w:ascii="Arial" w:hAnsi="Arial" w:cs="Arial"/>
        </w:rPr>
        <w:t xml:space="preserve"> ένα φυσικό πρόσωπο όπως για παράδειγμα το ονοματεπώνυμο, η ημερομηνία γεννήσεως, η διεύθυνση διαμονής, το τηλέφωνο ή ο αριθμός ταυτότητας/διαβατηρίου και η οποία βρίσκεται αρχειοθετημένη στα αρχεία της Ανεξάρτητης Αρχής κατά της Διαφθοράς, εφεξής καλούμενη («ΑΑΚΔ»).</w:t>
      </w:r>
    </w:p>
    <w:p w14:paraId="377892B8" w14:textId="77777777" w:rsidR="009C3936" w:rsidRDefault="009C3936" w:rsidP="006B1002">
      <w:pPr>
        <w:spacing w:after="0" w:line="276" w:lineRule="auto"/>
        <w:jc w:val="both"/>
        <w:rPr>
          <w:rFonts w:ascii="Arial" w:hAnsi="Arial" w:cs="Arial"/>
        </w:rPr>
      </w:pPr>
    </w:p>
    <w:p w14:paraId="27A16321" w14:textId="77777777" w:rsidR="009C3936" w:rsidRDefault="00000000" w:rsidP="006B1002">
      <w:pPr>
        <w:pStyle w:val="ListBullet"/>
        <w:numPr>
          <w:ilvl w:val="0"/>
          <w:numId w:val="0"/>
        </w:numPr>
        <w:ind w:left="360"/>
        <w:jc w:val="both"/>
      </w:pPr>
      <w:r>
        <w:rPr>
          <w:b/>
          <w:bCs/>
          <w:i/>
          <w:iCs/>
          <w:color w:val="0070C0"/>
          <w:sz w:val="22"/>
        </w:rPr>
        <w:t>Ποιος είναι ο Υπεύθυνος Επεξεργασίας και ο Εκτελών την Επεξεργασία;</w:t>
      </w:r>
    </w:p>
    <w:p w14:paraId="7564AAFF" w14:textId="77777777" w:rsidR="009C3936" w:rsidRDefault="009C3936" w:rsidP="006B1002">
      <w:pPr>
        <w:spacing w:after="0" w:line="276" w:lineRule="auto"/>
        <w:jc w:val="both"/>
        <w:rPr>
          <w:rFonts w:ascii="Arial" w:eastAsia="Times New Roman" w:hAnsi="Arial" w:cs="Arial"/>
          <w:b/>
          <w:bCs/>
          <w:color w:val="000000"/>
          <w:shd w:val="clear" w:color="auto" w:fill="FFFFFF"/>
        </w:rPr>
      </w:pPr>
      <w:bookmarkStart w:id="2" w:name="_Hlk103256137"/>
    </w:p>
    <w:p w14:paraId="3200F9D0" w14:textId="77777777" w:rsidR="009C3936" w:rsidRDefault="00000000" w:rsidP="006B1002">
      <w:pPr>
        <w:spacing w:after="0" w:line="276" w:lineRule="auto"/>
        <w:ind w:left="360"/>
        <w:jc w:val="both"/>
      </w:pPr>
      <w:r w:rsidRPr="006B1002">
        <w:rPr>
          <w:rFonts w:ascii="Arial" w:eastAsia="Times New Roman" w:hAnsi="Arial" w:cs="Arial"/>
          <w:b/>
          <w:bCs/>
          <w:color w:val="000000"/>
          <w:shd w:val="clear" w:color="auto" w:fill="FFFFFF"/>
        </w:rPr>
        <w:t>Υπεύθυνος Επεξεργασίας</w:t>
      </w:r>
      <w:r>
        <w:rPr>
          <w:rStyle w:val="FootnoteReference"/>
          <w:rFonts w:ascii="Arial" w:eastAsia="Times New Roman" w:hAnsi="Arial" w:cs="Arial"/>
          <w:b/>
          <w:bCs/>
          <w:color w:val="000000"/>
          <w:shd w:val="clear" w:color="auto" w:fill="FFFFFF"/>
        </w:rPr>
        <w:footnoteReference w:id="1"/>
      </w:r>
      <w:r w:rsidRPr="006B1002">
        <w:rPr>
          <w:rFonts w:ascii="Arial" w:eastAsia="Times New Roman" w:hAnsi="Arial" w:cs="Arial"/>
          <w:color w:val="000000"/>
          <w:shd w:val="clear" w:color="auto" w:fill="FFFFFF"/>
        </w:rPr>
        <w:t> των δεδομένων προσωπικού χαρακτήρα είναι η ΑΑΚΔ.</w:t>
      </w:r>
    </w:p>
    <w:p w14:paraId="6A7C8018" w14:textId="77777777" w:rsidR="009C3936" w:rsidRDefault="009C3936" w:rsidP="006B1002">
      <w:pPr>
        <w:spacing w:after="0" w:line="276" w:lineRule="auto"/>
        <w:jc w:val="both"/>
        <w:rPr>
          <w:rFonts w:ascii="Arial" w:eastAsia="Times New Roman" w:hAnsi="Arial" w:cs="Arial"/>
          <w:color w:val="000000"/>
          <w:shd w:val="clear" w:color="auto" w:fill="FFFFFF"/>
        </w:rPr>
      </w:pPr>
    </w:p>
    <w:p w14:paraId="454B0943" w14:textId="77777777" w:rsidR="009C3936" w:rsidRDefault="00000000" w:rsidP="006B1002">
      <w:pPr>
        <w:spacing w:after="120" w:line="276" w:lineRule="auto"/>
        <w:ind w:left="360"/>
        <w:jc w:val="both"/>
      </w:pPr>
      <w:r w:rsidRPr="006B1002">
        <w:rPr>
          <w:rFonts w:ascii="Arial" w:eastAsia="Times New Roman" w:hAnsi="Arial" w:cs="Arial"/>
          <w:b/>
          <w:bCs/>
          <w:color w:val="000000"/>
          <w:shd w:val="clear" w:color="auto" w:fill="FFFFFF"/>
        </w:rPr>
        <w:t>Εκτελούντες την Επεξεργασία</w:t>
      </w:r>
      <w:r>
        <w:rPr>
          <w:rStyle w:val="FootnoteReference"/>
          <w:rFonts w:ascii="Arial" w:eastAsia="Times New Roman" w:hAnsi="Arial" w:cs="Arial"/>
          <w:b/>
          <w:bCs/>
          <w:color w:val="000000"/>
          <w:shd w:val="clear" w:color="auto" w:fill="FFFFFF"/>
        </w:rPr>
        <w:footnoteReference w:id="2"/>
      </w:r>
      <w:r w:rsidRPr="006B1002">
        <w:rPr>
          <w:rStyle w:val="FootnoteReference"/>
          <w:rFonts w:ascii="Arial" w:eastAsia="Times New Roman" w:hAnsi="Arial" w:cs="Arial"/>
          <w:b/>
          <w:bCs/>
          <w:color w:val="000000"/>
          <w:shd w:val="clear" w:color="auto" w:fill="FFFFFF"/>
        </w:rPr>
        <w:t xml:space="preserve"> </w:t>
      </w:r>
      <w:r w:rsidRPr="006B1002">
        <w:rPr>
          <w:rFonts w:ascii="Arial" w:hAnsi="Arial" w:cs="Arial"/>
        </w:rPr>
        <w:t>των δεδομένων προσωπικού χαρακτήρα στα πλαίσια των αρμοδιοτήτων της ΑΑΚΔ  είναι:</w:t>
      </w:r>
    </w:p>
    <w:p w14:paraId="6AAF226F" w14:textId="77777777" w:rsidR="009C3936" w:rsidRDefault="00000000" w:rsidP="006B1002">
      <w:pPr>
        <w:spacing w:after="120" w:line="276" w:lineRule="auto"/>
        <w:ind w:left="360"/>
        <w:jc w:val="both"/>
      </w:pPr>
      <w:r w:rsidRPr="006B1002">
        <w:rPr>
          <w:rFonts w:ascii="Arial" w:hAnsi="Arial" w:cs="Arial"/>
        </w:rPr>
        <w:t xml:space="preserve">οι συνεργάτες της ΑΑΚΔ, από τους οποίους θα αγοράζονται υπηρεσίες, π.χ. Νομικοί Σύμβουλοι, Μεταφραστές κλπ. </w:t>
      </w:r>
    </w:p>
    <w:p w14:paraId="5BC8E705" w14:textId="77777777" w:rsidR="009C3936" w:rsidRDefault="00000000" w:rsidP="006B1002">
      <w:pPr>
        <w:spacing w:after="120" w:line="276" w:lineRule="auto"/>
        <w:ind w:left="360"/>
        <w:jc w:val="both"/>
      </w:pPr>
      <w:r w:rsidRPr="006B1002">
        <w:rPr>
          <w:rFonts w:ascii="Arial" w:hAnsi="Arial" w:cs="Arial"/>
        </w:rPr>
        <w:t xml:space="preserve">οι Λειτουργοί Επιθεώρησης </w:t>
      </w:r>
    </w:p>
    <w:bookmarkEnd w:id="2"/>
    <w:p w14:paraId="45539DD5" w14:textId="77777777" w:rsidR="009C3936" w:rsidRDefault="009C3936" w:rsidP="006B1002">
      <w:pPr>
        <w:spacing w:after="0" w:line="276" w:lineRule="auto"/>
        <w:jc w:val="both"/>
        <w:rPr>
          <w:rFonts w:ascii="Arial" w:hAnsi="Arial" w:cs="Arial"/>
        </w:rPr>
      </w:pPr>
    </w:p>
    <w:p w14:paraId="33DAC740" w14:textId="77777777" w:rsidR="009C3936" w:rsidRDefault="00000000" w:rsidP="006B1002">
      <w:pPr>
        <w:spacing w:after="0" w:line="276" w:lineRule="auto"/>
        <w:ind w:left="360"/>
        <w:jc w:val="both"/>
      </w:pPr>
      <w:r w:rsidRPr="006B1002">
        <w:rPr>
          <w:rFonts w:ascii="Arial" w:hAnsi="Arial" w:cs="Arial"/>
        </w:rPr>
        <w:t xml:space="preserve">οι αρμοδιότητες όλων των πιο πάνω σε σχέση με τις αρμοδιότητες της ΑΑΚΔ  καθορίζονται στον </w:t>
      </w:r>
      <w:r w:rsidRPr="006B1002">
        <w:rPr>
          <w:rFonts w:ascii="Arial" w:hAnsi="Arial" w:cs="Arial"/>
          <w:b/>
          <w:u w:val="single"/>
        </w:rPr>
        <w:t xml:space="preserve">περί της Σύστασης και Λειτουργίας της Ανεξάρτητης Αρχής κατά της Διαφθοράς Νόμο 2022 </w:t>
      </w:r>
      <w:r w:rsidRPr="006B1002">
        <w:rPr>
          <w:rFonts w:ascii="Arial" w:hAnsi="Arial" w:cs="Arial"/>
          <w:bCs/>
        </w:rPr>
        <w:t>(</w:t>
      </w:r>
      <w:r w:rsidRPr="006B1002">
        <w:rPr>
          <w:rFonts w:ascii="Arial" w:hAnsi="Arial" w:cs="Arial"/>
        </w:rPr>
        <w:t>«</w:t>
      </w:r>
      <w:r w:rsidRPr="006B1002">
        <w:rPr>
          <w:rFonts w:ascii="Arial" w:hAnsi="Arial" w:cs="Arial"/>
          <w:bCs/>
        </w:rPr>
        <w:t>Ν. 19(Ι)/2022</w:t>
      </w:r>
      <w:r w:rsidRPr="006B1002">
        <w:rPr>
          <w:rFonts w:ascii="Arial" w:hAnsi="Arial" w:cs="Arial"/>
        </w:rPr>
        <w:t>»</w:t>
      </w:r>
      <w:r w:rsidRPr="006B1002">
        <w:rPr>
          <w:rFonts w:ascii="Arial" w:hAnsi="Arial" w:cs="Arial"/>
          <w:bCs/>
        </w:rPr>
        <w:t>)</w:t>
      </w:r>
      <w:r w:rsidRPr="006B1002">
        <w:rPr>
          <w:rFonts w:ascii="Arial" w:hAnsi="Arial" w:cs="Arial"/>
        </w:rPr>
        <w:t xml:space="preserve">, στους </w:t>
      </w:r>
      <w:r w:rsidRPr="006B1002">
        <w:rPr>
          <w:rFonts w:ascii="Arial" w:hAnsi="Arial" w:cs="Arial"/>
          <w:b/>
          <w:bCs/>
          <w:u w:val="single"/>
        </w:rPr>
        <w:t xml:space="preserve">περί της Σύστασης και Λειτουργίας </w:t>
      </w:r>
      <w:r w:rsidRPr="006B1002">
        <w:rPr>
          <w:rFonts w:ascii="Arial" w:hAnsi="Arial" w:cs="Arial"/>
          <w:b/>
          <w:bCs/>
          <w:u w:val="single"/>
        </w:rPr>
        <w:lastRenderedPageBreak/>
        <w:t>της Ανεξάρτητης Αρχής κατά της Διαφθοράς Κανονισμούς 2022</w:t>
      </w:r>
      <w:r w:rsidRPr="006B1002">
        <w:rPr>
          <w:rFonts w:ascii="Arial" w:hAnsi="Arial" w:cs="Arial"/>
        </w:rPr>
        <w:t xml:space="preserve"> («Κ.Δ.Π. 483/2022») και στις Συμβάσεις Υπηρεσιών που θα υπογράφονται με τους Εκτελούντες την Επεξεργασία. </w:t>
      </w:r>
    </w:p>
    <w:p w14:paraId="6B1AB80A" w14:textId="77777777" w:rsidR="009C3936" w:rsidRDefault="009C3936" w:rsidP="006B1002">
      <w:pPr>
        <w:spacing w:after="0" w:line="276" w:lineRule="auto"/>
        <w:jc w:val="both"/>
      </w:pPr>
    </w:p>
    <w:p w14:paraId="7B135702" w14:textId="77777777" w:rsidR="009C3936" w:rsidRDefault="00000000" w:rsidP="006B1002">
      <w:pPr>
        <w:spacing w:after="0" w:line="276" w:lineRule="auto"/>
        <w:ind w:left="360"/>
        <w:jc w:val="both"/>
      </w:pPr>
      <w:r w:rsidRPr="006B1002">
        <w:rPr>
          <w:rFonts w:ascii="Arial" w:hAnsi="Arial" w:cs="Arial"/>
        </w:rPr>
        <w:t xml:space="preserve">Σημειώνεται ότι, η ΑΑΚΔ βεβαιώνεται ότι οι εκτελούντες την επεξεργασία παρέχουν επαρκείς διαβεβαιώσεις για την εφαρμογή κατάλληλων τεχνικών και οργανωτικών μέτρων, κατά τρόπο ώστε η επεξεργασία να πληροί τις απαιτήσεις του ΓΚΠΔ και ότι διασφαλίζεται η προστασία των δικαιωμάτων του υποκειμένου των δεδομένων. </w:t>
      </w:r>
    </w:p>
    <w:p w14:paraId="2FFDDFD7" w14:textId="77777777" w:rsidR="009C3936" w:rsidRDefault="009C3936" w:rsidP="006B1002">
      <w:pPr>
        <w:spacing w:after="0" w:line="276" w:lineRule="auto"/>
        <w:jc w:val="both"/>
        <w:rPr>
          <w:rFonts w:ascii="Arial" w:hAnsi="Arial" w:cs="Arial"/>
        </w:rPr>
      </w:pPr>
    </w:p>
    <w:p w14:paraId="3980F52D" w14:textId="77777777" w:rsidR="009C3936" w:rsidRDefault="00000000" w:rsidP="006B1002">
      <w:pPr>
        <w:pStyle w:val="ListBullet"/>
        <w:numPr>
          <w:ilvl w:val="0"/>
          <w:numId w:val="0"/>
        </w:numPr>
        <w:ind w:left="360"/>
        <w:jc w:val="both"/>
      </w:pPr>
      <w:r>
        <w:rPr>
          <w:b/>
          <w:bCs/>
          <w:i/>
          <w:iCs/>
          <w:color w:val="0070C0"/>
          <w:sz w:val="22"/>
        </w:rPr>
        <w:t>Γιατί συλλέγει Προσωπικά Δεδομένα η ΑΑΚΔ; (Νομιμότητα της επεξεργασίας)</w:t>
      </w:r>
    </w:p>
    <w:p w14:paraId="234A906C" w14:textId="77777777" w:rsidR="009C3936" w:rsidRDefault="009C3936" w:rsidP="006B1002">
      <w:pPr>
        <w:spacing w:after="0" w:line="276" w:lineRule="auto"/>
        <w:jc w:val="both"/>
        <w:rPr>
          <w:rFonts w:ascii="Arial" w:hAnsi="Arial" w:cs="Arial"/>
        </w:rPr>
      </w:pPr>
    </w:p>
    <w:p w14:paraId="7E93473D" w14:textId="77777777" w:rsidR="009C3936" w:rsidRDefault="00000000" w:rsidP="006B1002">
      <w:pPr>
        <w:spacing w:after="0" w:line="276" w:lineRule="auto"/>
        <w:ind w:left="360"/>
        <w:jc w:val="both"/>
      </w:pPr>
      <w:r w:rsidRPr="006B1002">
        <w:rPr>
          <w:rFonts w:ascii="Arial" w:hAnsi="Arial" w:cs="Arial"/>
        </w:rPr>
        <w:t xml:space="preserve">Η ΑΑΚΔ θεωρείται ως υπεύθυνη επεξεργασίας αναφορικά με κάθε πληροφορία / προσωπικό δεδομένο που συλλέγεται και υπόκειται σε επεξεργασία για την εκπλήρωση της αποστολής της και άσκηση των αρμοδιοτήτων της </w:t>
      </w:r>
      <w:r w:rsidRPr="006B1002">
        <w:rPr>
          <w:rFonts w:ascii="Arial" w:hAnsi="Arial" w:cs="Arial"/>
          <w:b/>
          <w:bCs/>
          <w:u w:val="single"/>
        </w:rPr>
        <w:t>όπως αναφέρονται μεταξύ άλλων στα άρθρα 6(1) και (2) και 7(1) του Ν. 19(Ι)/2022 όπως αναφέρονται πιο κάτω</w:t>
      </w:r>
      <w:r w:rsidRPr="006B1002">
        <w:rPr>
          <w:rFonts w:ascii="Arial" w:hAnsi="Arial" w:cs="Arial"/>
        </w:rPr>
        <w:t xml:space="preserve">: </w:t>
      </w:r>
    </w:p>
    <w:p w14:paraId="7320DE5A" w14:textId="389EC3CB" w:rsidR="009C3936" w:rsidRDefault="009C3936" w:rsidP="006B1002">
      <w:pPr>
        <w:spacing w:after="0" w:line="276" w:lineRule="auto"/>
        <w:ind w:left="60"/>
        <w:jc w:val="both"/>
        <w:rPr>
          <w:rFonts w:ascii="Arial" w:hAnsi="Arial" w:cs="Arial"/>
        </w:rPr>
      </w:pPr>
    </w:p>
    <w:p w14:paraId="4EFF11D0" w14:textId="77777777" w:rsidR="009C3936" w:rsidRDefault="00000000" w:rsidP="006B1002">
      <w:pPr>
        <w:spacing w:line="276" w:lineRule="auto"/>
        <w:ind w:left="360"/>
        <w:jc w:val="both"/>
      </w:pPr>
      <w:r w:rsidRPr="006B1002">
        <w:rPr>
          <w:rFonts w:ascii="Arial" w:hAnsi="Arial" w:cs="Arial"/>
        </w:rPr>
        <w:t xml:space="preserve">«6.-(1) </w:t>
      </w:r>
      <w:r w:rsidRPr="006B1002">
        <w:rPr>
          <w:rFonts w:ascii="Arial" w:hAnsi="Arial" w:cs="Arial"/>
          <w:lang w:bidi="he-IL"/>
        </w:rPr>
        <w:t xml:space="preserve">Αποστολή της Αρχής είναι η λήψη των αναγκαίων πρωτοβουλιών και ενεργειών για τη διασφάλιση της συνεκτικότητας και της αποτελεσματικότητας των δράσεων των υπηρεσιών του δημόσιου τομέα, του ευρύτερου δημόσιου τομέα και του ιδιωτικού τομέα σε θέματα πρόληψης και καταπολέμησης πράξεων διαφθοράς, καθώς και τη διασφάλιση, κατά τον καλύτερο και αποδοτικότερο τρόπο, της εφαρμογής, προόδου, διαχείρισης και αξιολόγησης της εκάστοτε Εθνικής Στρατηγικής κατά της Διαφθοράς. </w:t>
      </w:r>
    </w:p>
    <w:p w14:paraId="2A5B40CA"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(2) Η Αρχή διερευνά, αυτεπάγγελτα ή ύστερα από υποβολή καταγγελίας, πράξεις διαφθοράς στον δημόσιο τομέα, στον ευρύτερο δημόσιο τομέα και στον ιδιωτικό τομέα….</w:t>
      </w:r>
    </w:p>
    <w:p w14:paraId="09D15243"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7.-(1) Η Αρχή ορίζεται ως αρμόδια αρχή για το συντονισμό των δράσεων των υπηρεσιών του δημόσιου τομέα, του ευρύτερου δημόσιου τομέα και του ιδιωτικού τομέα για την πρόληψη και την καταπολέμηση πράξεων διαφθοράς σε εθνικό επίπεδο και έχει τις ακόλουθες αρμοδιότητες και εξουσίες:</w:t>
      </w:r>
    </w:p>
    <w:p w14:paraId="3E4D95C1"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(α)  Εποπτεύει τις δράσεις των υπηρεσιών του δημόσιου τομέα, του ευρύτερου δημόσιου τομέα και του ιδιωτικού τομέα σε θέματα πρόληψης και καταπολέμησης πράξεων διαφθοράς͘</w:t>
      </w:r>
    </w:p>
    <w:p w14:paraId="4176D68B"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 xml:space="preserve">(β) αξιολογεί κατά πόσο τα αποτελέσματα των δράσεων των υπηρεσιών του δημόσιου τομέα, του ευρύτερου δημόσιου τομέα και του ιδιωτικού τομέα σε θέματα πρόληψης και καταπολέμησης πράξεων διαφθοράς είναι συμβατά με τα αναμενόμενα αποτελέσματα και τους καθορισμένους στόχους βάσει διεθνώς αναγνωρισμένων βέλτιστων πρακτικών και προτύπων πρόληψης και καταπολέμησης πράξεων διαφθοράς και κατά πόσο οι εν λόγω δράσεις υλοποιούνται όπως έχουν προγραμματιστεί και, εφόσον κρίνεται αναγκαίο, λαμβάνει μέτρα εντός των αρμοδιοτήτων της προς υλοποίηση των δράσεων ως έχουν προγραμματιστεί και προς επίτευξη των καθορισμένων στόχων͘ </w:t>
      </w:r>
    </w:p>
    <w:p w14:paraId="07116CA3"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lastRenderedPageBreak/>
        <w:t>(γ) συντάσσει αυτεπάγγελτα εκθέσεις με απόψεις, εισηγήσεις και προτάσεις για την πρόληψη και καταπολέμηση πράξεων διαφθοράς και για την τήρηση των θεμελιωδών αρχών κατά της διαφθοράς, τις οποίες αποστέλλει στις αρμόδιες υπηρεσίες για ενημέρωση, απόψεις ή/και τυχόν ενέργειες͘</w:t>
      </w:r>
    </w:p>
    <w:p w14:paraId="42817066"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(δ) έχει επαφές και διαβουλεύσεις με μη κυβερνητικούς οργανισμούς και οργανώσεις, επαγγελματικούς συνδέσμους, οργανωμένα σύνολα και με αντίστοιχες αρχές της Δημοκρατίας και του εξωτερικού, για σκοπούς άσκησης των προβλεπόμενων την παράγραφο (γ) εξουσιών της͘</w:t>
      </w:r>
    </w:p>
    <w:p w14:paraId="7AC1C1F5"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(ε) συνεργάζεται με τους αρμόδιους επαγγελματικούς συνδέσμους για τη σωστή εφαρμογή των εσωτερικών μηχανισμών ελέγχου του ιδιωτικού τομέα για την πρόληψη και καταπολέμηση πράξεων διαφθοράς͘</w:t>
      </w:r>
    </w:p>
    <w:p w14:paraId="763ACA17"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στ</w:t>
      </w:r>
      <w:proofErr w:type="spellEnd"/>
      <w:r w:rsidRPr="006B1002">
        <w:rPr>
          <w:rFonts w:ascii="Arial" w:hAnsi="Arial" w:cs="Arial"/>
          <w:lang w:bidi="he-IL"/>
        </w:rPr>
        <w:t>) ενημερώνει τον ιδιωτικό τομέα για τις διεθνώς αναγνωρισμένες βέλτιστες πρακτικές και τα πρότυπα πρόληψης και καταπολέμησης πράξεων διαφθοράς και παρέχει συμβουλές και καθοδήγηση για την υιοθέτηση και ορθή εφαρμογή τους͘</w:t>
      </w:r>
    </w:p>
    <w:p w14:paraId="4867B862"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(ζ) αξιολογεί τους κινδύνους που σχετίζονται με πράξεις διαφθοράς, καθορίζει τους δείκτες αξιολόγησης και, εφόσον κρίνεται αναγκαίο, συντάσσει εκθέσεις με απόψεις, εισηγήσεις και συστάσεις για την πρόληψη και καταπολέμηση τέτοιων πράξεων, τις οποίες αποστέλλει στις κατά περίπτωση αρμόδιες αρχές για ενημέρωση, απόψεις ή/και τυχόν ενέργειες͘</w:t>
      </w:r>
    </w:p>
    <w:p w14:paraId="4E197452"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(η) εκπονεί μελέτες, εκδίδει εγκυκλίους προς τις κατά περίπτωση αρμόδιες αρχές, λαμβάνει μέτρα εντός των αρμοδιοτήτων της προς διασφάλιση της αποστολής της και εκδίδει εγχειρίδια για σκοπούς ενημέρωσης και εκπαίδευσης͘</w:t>
      </w:r>
    </w:p>
    <w:p w14:paraId="41905D22"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(θ) επιλαμβάνεται ζητημάτων επικάλυψης αρμοδιοτήτων μεταξύ υπηρεσιών ή οργανισμών που εμπλέκονται στην πρόληψη και καταπολέμηση πράξεων διαφθοράς, υποβάλλοντας εισηγήσεις για την αποτελεσματική επίλυσή τους͘</w:t>
      </w:r>
    </w:p>
    <w:p w14:paraId="5A51B80B"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(ι) προτείνει, επεξεργάζεται και σχεδιάζει δράσεις συγχρηματοδοτούμενων, διακρατικών και άλλων, προγραμμάτων, στα οποία συμμετέχουν οι αρμόδιες υπηρεσίες του δημόσιου τομέα, του ευρύτερου δημόσιου τομέα και του ιδιωτικού τομέα͘</w:t>
      </w:r>
    </w:p>
    <w:p w14:paraId="0C0E5DE8"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ια</w:t>
      </w:r>
      <w:proofErr w:type="spellEnd"/>
      <w:r w:rsidRPr="006B1002">
        <w:rPr>
          <w:rFonts w:ascii="Arial" w:hAnsi="Arial" w:cs="Arial"/>
          <w:lang w:bidi="he-IL"/>
        </w:rPr>
        <w:t>) συνεργάζεται με διεθνείς οργανισμούς, όργανα και υπηρεσίες της Ευρωπαϊκής Ένωσης ή άλλων κρατών για την εκπόνηση, ανάληψη, χρήση, υλοποίηση προγραμμάτων ή στρατηγικών σχεδίων, την ανταλλαγή βέλτιστων πρακτικών και τη λήψη τεχνικής βοήθειας για την πρόληψη και καταπολέμηση πράξεων διαφθοράς͘</w:t>
      </w:r>
    </w:p>
    <w:p w14:paraId="1E3553F1"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ιβ</w:t>
      </w:r>
      <w:proofErr w:type="spellEnd"/>
      <w:r w:rsidRPr="006B1002">
        <w:rPr>
          <w:rFonts w:ascii="Arial" w:hAnsi="Arial" w:cs="Arial"/>
          <w:lang w:bidi="he-IL"/>
        </w:rPr>
        <w:t xml:space="preserve">) παρίσταται σε συναντήσεις ή άλλες εκδηλώσεις που διοργανώνονται στο πλαίσιο του Οργανισμού Ηνωμένων Εθνών, του Συμβουλίου της Ευρώπης και της Ευρωπαϊκής Ένωσης στις οποίες συμμετέχουν εθνικοί οργανισμοί κατά της διαφθοράς, συνεργάζεται με άλλους θεσμούς του Οργανισμού Ηνωμένων Εθνών, του Συμβουλίου της Ευρώπης και της </w:t>
      </w:r>
      <w:proofErr w:type="spellStart"/>
      <w:r w:rsidRPr="006B1002">
        <w:rPr>
          <w:rFonts w:ascii="Arial" w:hAnsi="Arial" w:cs="Arial"/>
          <w:lang w:bidi="he-IL"/>
        </w:rPr>
        <w:t>Ευρωπαικής</w:t>
      </w:r>
      <w:proofErr w:type="spellEnd"/>
      <w:r w:rsidRPr="006B1002">
        <w:rPr>
          <w:rFonts w:ascii="Arial" w:hAnsi="Arial" w:cs="Arial"/>
          <w:lang w:bidi="he-IL"/>
        </w:rPr>
        <w:t xml:space="preserve"> Ένωσης, όπως και με οργανισμούς κατά της διαφθοράς άλλων κρατών </w:t>
      </w:r>
      <w:r w:rsidRPr="006B1002">
        <w:rPr>
          <w:rFonts w:ascii="Arial" w:hAnsi="Arial" w:cs="Arial"/>
          <w:lang w:bidi="he-IL"/>
        </w:rPr>
        <w:lastRenderedPageBreak/>
        <w:t>και ενημερώνει αναφορικά με πληροφορίες ή στοιχεία τα οποία ζητούνται, στο πλαίσιο συνεργασίας ή/και ανταλλαγής πληροφοριών ή/και απάντησης, σε περίπτωση αμοιβαίας νομικής συνδρομής, δυνάμει οποιαδήποτε σχετικής διμερούς σύμβασης μεταξύ της Δημοκρατίας και άλλου κράτους, η οποία κυρώνεται με Νόμο της Δημοκρατίας͘</w:t>
      </w:r>
    </w:p>
    <w:p w14:paraId="7EE2030A"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ιγ</w:t>
      </w:r>
      <w:proofErr w:type="spellEnd"/>
      <w:r w:rsidRPr="006B1002">
        <w:rPr>
          <w:rFonts w:ascii="Arial" w:hAnsi="Arial" w:cs="Arial"/>
          <w:lang w:bidi="he-IL"/>
        </w:rPr>
        <w:t xml:space="preserve">) δέχεται καταγγελίες και λαμβάνει πληροφορίες και δεδομένα προσωπικού χαρακτήρα που σχετίζονται με πράξεις διαφθοράς στο δημόσιο τομέα, στον ευρύτερο δημόσιο τομέα και στον ιδιωτικό τομέα͘   </w:t>
      </w:r>
    </w:p>
    <w:p w14:paraId="3F9B8334"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ιδ</w:t>
      </w:r>
      <w:proofErr w:type="spellEnd"/>
      <w:r w:rsidRPr="006B1002">
        <w:rPr>
          <w:rFonts w:ascii="Arial" w:hAnsi="Arial" w:cs="Arial"/>
          <w:lang w:bidi="he-IL"/>
        </w:rPr>
        <w:t>) διερευνά και αξιολογεί οποιαδήποτε καταγγελία, πληροφορίες ή δεδομένα προσωπικού χαρακτήρα περιέρχονται σε γνώση της τα οποία σχετίζονται με πράξεις διαφθοράς στον δημόσιο τομέα, στον ευρύτερο δημόσιο τομέα και στον ιδιωτικό τομέα͘</w:t>
      </w:r>
    </w:p>
    <w:p w14:paraId="4C05435F"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ιε</w:t>
      </w:r>
      <w:proofErr w:type="spellEnd"/>
      <w:r w:rsidRPr="006B1002">
        <w:rPr>
          <w:rFonts w:ascii="Arial" w:hAnsi="Arial" w:cs="Arial"/>
          <w:lang w:bidi="he-IL"/>
        </w:rPr>
        <w:t>) διερευνά αυτεπάγγελτα, στο πλαίσιο της αποστολής της, οποιοδήποτε θέμα σχετίζεται με πράξεις διαφθοράς οποιασδήποτε υπηρεσίας στον δημόσιο τομέα, στον ευρύτερο δημόσιο τομέα και στον ιδιωτικό τομέα και υποβάλλει έκθεση στην κατά περίπτωση αρμόδια αρχή͘</w:t>
      </w:r>
    </w:p>
    <w:p w14:paraId="00F6796B"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ιστ</w:t>
      </w:r>
      <w:proofErr w:type="spellEnd"/>
      <w:r w:rsidRPr="006B1002">
        <w:rPr>
          <w:rFonts w:ascii="Arial" w:hAnsi="Arial" w:cs="Arial"/>
          <w:lang w:bidi="he-IL"/>
        </w:rPr>
        <w:t>) τηρουμένων των διατάξεων του ΓΚΠΔ και του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Νόμου συλλέγει, καταγράφει, επεξεργάζεται, αξιολογεί, αξιοποιεί, διερευνά πληροφορίες και δεδομένα προσωπικού χαρακτήρα που αφορούν στη διάπραξη πράξεων διαφθοράς στον δημόσιο τομέα, στον ευρύτερο δημόσιο τομέα και στον ιδιωτικό τομέα͘</w:t>
      </w:r>
    </w:p>
    <w:p w14:paraId="0A9CB28D"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ιζ</w:t>
      </w:r>
      <w:proofErr w:type="spellEnd"/>
      <w:r w:rsidRPr="006B1002">
        <w:rPr>
          <w:rFonts w:ascii="Arial" w:hAnsi="Arial" w:cs="Arial"/>
          <w:lang w:bidi="he-IL"/>
        </w:rPr>
        <w:t>) τηρουμένων των διατάξεων της παραγράφου (1) του άρθρου 89 του ΓΚΠΔ και του άρθρου 31 του περί της Προστασίας των Φυσικών Προσώπων Έναντι της Επεξεργασίας των Δεδομένων Προσωπικού Χαρακτήρα και της Ελεύθερης Κυκλοφορίας Δεδομένων αυτών Νόμου συλλέγει, καταγράφει, επεξεργάζεται, αξιολογεί και αξιοποιεί πληροφορίες και δεδομένα προσωπικού χαρακτήρα που σχετίζονται με πράξεις διαφθοράς στο δημόσιο τομέα, στον ευρύτερο δημόσιο τομέα και στον ιδιωτικό τομέα, με σκοπό, μεταξύ άλλων, την παραγωγή στατιστικών ή/και στατιστικής ανάλυσης που έχουν σχέση με την αποστολή της…</w:t>
      </w:r>
    </w:p>
    <w:p w14:paraId="387A72F0"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ιη</w:t>
      </w:r>
      <w:proofErr w:type="spellEnd"/>
      <w:r w:rsidRPr="006B1002">
        <w:rPr>
          <w:rFonts w:ascii="Arial" w:hAnsi="Arial" w:cs="Arial"/>
          <w:lang w:bidi="he-IL"/>
        </w:rPr>
        <w:t>) τηρουμένων των διατάξεων του ΓΚΠΔ και του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Νόμου καταρτίζει, τηρεί και διαχειρίζεται αρχεία ή/και μητρώα με πληροφορίες και δεδομένα προσωπικού χαρακτήρα που είναι απαραίτητα για τη διεκπεραίωση της αποστολής και των αρμοδιοτήτων της, περιλαμβανομένου κεντρικού αρχείου με τις ομάδες ειδικού ενδιαφέροντος͘</w:t>
      </w:r>
    </w:p>
    <w:p w14:paraId="4C982A81"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t>(</w:t>
      </w:r>
      <w:proofErr w:type="spellStart"/>
      <w:r w:rsidRPr="006B1002">
        <w:rPr>
          <w:rFonts w:ascii="Arial" w:hAnsi="Arial" w:cs="Arial"/>
          <w:lang w:bidi="he-IL"/>
        </w:rPr>
        <w:t>ιθ</w:t>
      </w:r>
      <w:proofErr w:type="spellEnd"/>
      <w:r w:rsidRPr="006B1002">
        <w:rPr>
          <w:rFonts w:ascii="Arial" w:hAnsi="Arial" w:cs="Arial"/>
          <w:lang w:bidi="he-IL"/>
        </w:rPr>
        <w:t>) εκτελεί τις αρμοδιότητες που της ανατίθενται δυνάμει των διατάξεων του παρόντος Νόμου ή οποιουδήποτε άλλου Νόμου και λαμβάνει μέτρα για σκοπούς πρόληψης και καταπολέμησης πράξεων που προσκρούουν στις διατάξεις τους͘ και</w:t>
      </w:r>
    </w:p>
    <w:p w14:paraId="04A379C6" w14:textId="77777777" w:rsidR="009C3936" w:rsidRPr="006B1002" w:rsidRDefault="00000000" w:rsidP="006B1002">
      <w:pPr>
        <w:spacing w:line="276" w:lineRule="auto"/>
        <w:ind w:left="360"/>
        <w:jc w:val="both"/>
        <w:rPr>
          <w:rFonts w:ascii="Arial" w:hAnsi="Arial" w:cs="Arial"/>
          <w:lang w:bidi="he-IL"/>
        </w:rPr>
      </w:pPr>
      <w:r w:rsidRPr="006B1002">
        <w:rPr>
          <w:rFonts w:ascii="Arial" w:hAnsi="Arial" w:cs="Arial"/>
          <w:lang w:bidi="he-IL"/>
        </w:rPr>
        <w:lastRenderedPageBreak/>
        <w:t xml:space="preserve">(κ) διενεργεί οποιαδήποτε άλλη εργασία εμπίπτει στο πλαίσιο συντονισμού, παρακολούθησης και αξιολόγησης των μηχανισμών πρόληψης και καταπολέμησης πράξεων διαφθοράς.» </w:t>
      </w:r>
    </w:p>
    <w:p w14:paraId="0E834B6B" w14:textId="77777777" w:rsidR="009C3936" w:rsidRDefault="00000000" w:rsidP="006B1002">
      <w:pPr>
        <w:pStyle w:val="ListBullet"/>
        <w:numPr>
          <w:ilvl w:val="0"/>
          <w:numId w:val="0"/>
        </w:numPr>
        <w:ind w:left="360"/>
        <w:jc w:val="both"/>
      </w:pPr>
      <w:r>
        <w:rPr>
          <w:b/>
          <w:bCs/>
          <w:i/>
          <w:iCs/>
          <w:color w:val="0070C0"/>
          <w:sz w:val="22"/>
        </w:rPr>
        <w:t xml:space="preserve">Πώς επεξεργάζεται η ΑΑΚΔ τα Προσωπικά Δεδομένα που συγκεντρώνει; </w:t>
      </w:r>
    </w:p>
    <w:p w14:paraId="5DF0FAF8" w14:textId="77777777" w:rsidR="009C3936" w:rsidRDefault="00000000" w:rsidP="006B1002">
      <w:pPr>
        <w:pStyle w:val="ListBullet"/>
        <w:numPr>
          <w:ilvl w:val="0"/>
          <w:numId w:val="0"/>
        </w:numPr>
        <w:tabs>
          <w:tab w:val="clear" w:pos="-12534"/>
          <w:tab w:val="left" w:pos="426"/>
        </w:tabs>
        <w:ind w:left="360"/>
        <w:jc w:val="both"/>
      </w:pPr>
      <w:r>
        <w:rPr>
          <w:sz w:val="22"/>
        </w:rPr>
        <w:t xml:space="preserve">Η ΑΑΚΔ επεξεργάζεται τα Προσωπικά Δεδομένα: </w:t>
      </w:r>
    </w:p>
    <w:p w14:paraId="00D8F7A8" w14:textId="77777777" w:rsidR="009C3936" w:rsidRDefault="00000000" w:rsidP="006B1002">
      <w:pPr>
        <w:pStyle w:val="ListBullet"/>
        <w:numPr>
          <w:ilvl w:val="0"/>
          <w:numId w:val="0"/>
        </w:numPr>
        <w:tabs>
          <w:tab w:val="clear" w:pos="-12534"/>
          <w:tab w:val="left" w:pos="426"/>
        </w:tabs>
        <w:ind w:left="360"/>
        <w:jc w:val="both"/>
        <w:rPr>
          <w:sz w:val="22"/>
        </w:rPr>
      </w:pPr>
      <w:r>
        <w:rPr>
          <w:sz w:val="22"/>
        </w:rPr>
        <w:t>(α) στο βαθμό που είναι απαραίτητο για την εκπλήρωση της αποστολής της</w:t>
      </w:r>
    </w:p>
    <w:p w14:paraId="1EA1894D" w14:textId="77777777" w:rsidR="009C3936" w:rsidRDefault="00000000" w:rsidP="006B1002">
      <w:pPr>
        <w:pStyle w:val="ListBullet"/>
        <w:numPr>
          <w:ilvl w:val="0"/>
          <w:numId w:val="0"/>
        </w:numPr>
        <w:tabs>
          <w:tab w:val="clear" w:pos="-12534"/>
          <w:tab w:val="left" w:pos="426"/>
        </w:tabs>
        <w:ind w:left="360"/>
        <w:jc w:val="both"/>
        <w:rPr>
          <w:sz w:val="22"/>
        </w:rPr>
      </w:pPr>
      <w:r>
        <w:rPr>
          <w:sz w:val="22"/>
        </w:rPr>
        <w:t xml:space="preserve">(β) στον βαθμό που είναι απαραίτητος για την εκτέλεση των αρμοδιοτήτων της, όπως περιγράφονται πιο πάνω  </w:t>
      </w:r>
    </w:p>
    <w:p w14:paraId="361D1B54" w14:textId="77777777" w:rsidR="009C3936" w:rsidRDefault="00000000" w:rsidP="006B1002">
      <w:pPr>
        <w:pStyle w:val="ListBullet"/>
        <w:numPr>
          <w:ilvl w:val="0"/>
          <w:numId w:val="0"/>
        </w:numPr>
        <w:tabs>
          <w:tab w:val="clear" w:pos="-12534"/>
          <w:tab w:val="left" w:pos="426"/>
        </w:tabs>
        <w:ind w:left="360"/>
        <w:jc w:val="both"/>
        <w:rPr>
          <w:sz w:val="22"/>
        </w:rPr>
      </w:pPr>
      <w:r>
        <w:rPr>
          <w:sz w:val="22"/>
        </w:rPr>
        <w:t xml:space="preserve">(γ) για σκοπούς συμμόρφωσης με την </w:t>
      </w:r>
      <w:proofErr w:type="spellStart"/>
      <w:r>
        <w:rPr>
          <w:sz w:val="22"/>
        </w:rPr>
        <w:t>ενωσιακή</w:t>
      </w:r>
      <w:proofErr w:type="spellEnd"/>
      <w:r>
        <w:rPr>
          <w:sz w:val="22"/>
        </w:rPr>
        <w:t xml:space="preserve"> και εθνική Νομοθεσία</w:t>
      </w:r>
    </w:p>
    <w:p w14:paraId="15AE2804" w14:textId="77777777" w:rsidR="009C3936" w:rsidRDefault="00000000" w:rsidP="006B1002">
      <w:pPr>
        <w:pStyle w:val="ListBullet"/>
        <w:numPr>
          <w:ilvl w:val="0"/>
          <w:numId w:val="0"/>
        </w:numPr>
        <w:tabs>
          <w:tab w:val="clear" w:pos="-12534"/>
          <w:tab w:val="left" w:pos="-11814"/>
          <w:tab w:val="left" w:pos="426"/>
        </w:tabs>
        <w:ind w:left="360"/>
        <w:jc w:val="both"/>
      </w:pPr>
      <w:r>
        <w:rPr>
          <w:sz w:val="22"/>
        </w:rPr>
        <w:t>(δ) όπου ισχύει αν έχει λάβει την ενυπόγραφη ή έγγραφη ή αδιαμφισβήτητη ή ηλεκτρονική συγκατάθεση του υποκειμένου των δεδομένων (όπου η ΑΑΚΔ δεν ενεργεί / εκτελεί καθήκοντα υπό την επίσημη της ιδιότητα ως Δημόσια Αρχή)</w:t>
      </w:r>
    </w:p>
    <w:p w14:paraId="5541EFFA" w14:textId="77777777" w:rsidR="009C3936" w:rsidRDefault="009C3936" w:rsidP="006B1002">
      <w:pPr>
        <w:pStyle w:val="ListBullet"/>
        <w:numPr>
          <w:ilvl w:val="0"/>
          <w:numId w:val="0"/>
        </w:numPr>
        <w:tabs>
          <w:tab w:val="clear" w:pos="-12534"/>
          <w:tab w:val="left" w:pos="426"/>
        </w:tabs>
        <w:ind w:left="360"/>
        <w:jc w:val="both"/>
        <w:rPr>
          <w:sz w:val="22"/>
        </w:rPr>
      </w:pPr>
    </w:p>
    <w:p w14:paraId="5DA03172" w14:textId="77777777" w:rsidR="009C3936" w:rsidRDefault="00000000" w:rsidP="006B1002">
      <w:pPr>
        <w:pStyle w:val="ListBullet"/>
        <w:numPr>
          <w:ilvl w:val="0"/>
          <w:numId w:val="0"/>
        </w:numPr>
        <w:spacing w:after="240"/>
        <w:ind w:left="360"/>
        <w:jc w:val="both"/>
      </w:pPr>
      <w:r>
        <w:rPr>
          <w:b/>
          <w:bCs/>
          <w:i/>
          <w:iCs/>
          <w:color w:val="0070C0"/>
          <w:sz w:val="22"/>
        </w:rPr>
        <w:t>Με ποιους τρόπους συλλέγει Προσωπικά Δεδομένα η ΑΑΚΔ;</w:t>
      </w:r>
    </w:p>
    <w:p w14:paraId="6595C445" w14:textId="77777777" w:rsidR="009C3936" w:rsidRDefault="00000000" w:rsidP="006B1002">
      <w:pPr>
        <w:pStyle w:val="ListBullet"/>
        <w:numPr>
          <w:ilvl w:val="0"/>
          <w:numId w:val="0"/>
        </w:numPr>
        <w:ind w:left="360"/>
        <w:jc w:val="both"/>
        <w:rPr>
          <w:sz w:val="22"/>
        </w:rPr>
      </w:pPr>
      <w:r>
        <w:rPr>
          <w:sz w:val="22"/>
        </w:rPr>
        <w:t xml:space="preserve">Η Αρχή έχει εξουσία να ζητά πληροφορίες και δεδομένα προσωπικού χαρακτήρα, τα οποία είναι απολύτως αναγκαία ή απαραίτητα για σκοπούς  άσκησης των αρμοδιοτήτων της και εκπλήρωσης της αποστολής της και να απαιτεί, με γραπτό αίτημά της, την παροχή μέσα σε ταχθείσα προθεσμία τέτοιων δεδομένων από υπουργούς, αξιωματούχους, δημόσιους λειτουργούς, υπαλλήλους του δημόσιου τομέα, του ευρύτερου δημόσιου τομέα ή του ιδιωτικού τομέα, δημάρχους, κοινοτάρχες, μέλη δημοτικών και κοινοτικών συμβουλίων και υπαλλήλους τους, υπαλλήλους υπηρεσιών της Δημοκρατίας, άλλων αρχών ή συμβουλίων που συστάθηκαν ή συστήνονται με Νόμο και από κάθε πρόσωπο που εμπίπτει εντός των αρμοδιοτήτων του ελέγχου της, καθώς και από οποιοδήποτε άλλο πρόσωπο που η Αρχή εύλογα θεωρεί ότι είναι σε θέση να δώσει τις αιτούμενες πληροφορίες ή δεδομένα προσωπικού χαρακτήρα. </w:t>
      </w:r>
    </w:p>
    <w:p w14:paraId="3D976D73" w14:textId="77777777" w:rsidR="009C3936" w:rsidRDefault="009C3936" w:rsidP="006B1002">
      <w:pPr>
        <w:pStyle w:val="ListBullet"/>
        <w:numPr>
          <w:ilvl w:val="0"/>
          <w:numId w:val="0"/>
        </w:numPr>
        <w:tabs>
          <w:tab w:val="clear" w:pos="-12534"/>
          <w:tab w:val="left" w:pos="-11814"/>
        </w:tabs>
        <w:spacing w:before="0"/>
        <w:ind w:left="360"/>
        <w:jc w:val="both"/>
        <w:rPr>
          <w:sz w:val="22"/>
        </w:rPr>
      </w:pPr>
    </w:p>
    <w:p w14:paraId="754E9B35" w14:textId="77777777" w:rsidR="009C3936" w:rsidRDefault="00000000" w:rsidP="006B1002">
      <w:pPr>
        <w:ind w:left="360"/>
        <w:jc w:val="both"/>
      </w:pPr>
      <w:r w:rsidRPr="006B1002">
        <w:rPr>
          <w:rFonts w:ascii="Arial" w:eastAsia="Times New Roman" w:hAnsi="Arial" w:cs="Arial"/>
          <w:lang w:eastAsia="el-GR"/>
        </w:rPr>
        <w:t xml:space="preserve">Τα «υποκείμενα δεδομένων», παρέχουν τα Προσωπικά Δεδομένα στην ΑΑΚΔ, είτε οι ίδιοι, είτε μέσω εξουσιοδοτημένων αντιπροσώπων τους, είτε μέσω κοινολόγησης Προσωπικών Δεδομένων από αρμόδιο φορέα, με τους πιο κάτω τρόπους, </w:t>
      </w:r>
      <w:r w:rsidRPr="006B1002">
        <w:rPr>
          <w:rFonts w:ascii="Arial" w:hAnsi="Arial" w:cs="Arial"/>
          <w:bCs/>
        </w:rPr>
        <w:t>σύμφωνα με τις πρόνοιες του Ν. 19(Ι)/2022</w:t>
      </w:r>
      <w:r w:rsidRPr="006B1002">
        <w:rPr>
          <w:rFonts w:ascii="Arial" w:hAnsi="Arial" w:cs="Arial"/>
        </w:rPr>
        <w:t xml:space="preserve"> και της Κ.Δ.Π. 483/2022</w:t>
      </w:r>
      <w:r w:rsidRPr="006B1002">
        <w:rPr>
          <w:rFonts w:ascii="Arial" w:eastAsia="Times New Roman" w:hAnsi="Arial" w:cs="Arial"/>
          <w:lang w:eastAsia="el-GR"/>
        </w:rPr>
        <w:t xml:space="preserve">: </w:t>
      </w:r>
    </w:p>
    <w:p w14:paraId="63A53690" w14:textId="77777777" w:rsidR="009C3936" w:rsidRDefault="00000000" w:rsidP="006B1002">
      <w:pPr>
        <w:spacing w:after="120" w:line="276" w:lineRule="auto"/>
        <w:ind w:left="360"/>
        <w:jc w:val="both"/>
      </w:pPr>
      <w:r w:rsidRPr="006B1002">
        <w:rPr>
          <w:rFonts w:ascii="Arial" w:hAnsi="Arial" w:cs="Arial"/>
        </w:rPr>
        <w:t>Μέσω επιστολής και/ή συμπλήρωσης τυποποιημένων εντύπων σε έντυπη ή ηλεκτρονική μορφή, τα οποία θα παραδίδονται στην ΑΑΚΔ δια χειρός, ταχυδρομικώς,  μέσω τηλεομοιότυπου ή μέσω της ιστοσελίδας της ΑΑΚΔ</w:t>
      </w:r>
    </w:p>
    <w:p w14:paraId="542B2B52" w14:textId="77777777" w:rsidR="009C3936" w:rsidRDefault="00000000" w:rsidP="006B1002">
      <w:pPr>
        <w:spacing w:after="120" w:line="276" w:lineRule="auto"/>
        <w:ind w:left="360"/>
        <w:jc w:val="both"/>
      </w:pPr>
      <w:r w:rsidRPr="006B1002">
        <w:rPr>
          <w:rFonts w:ascii="Arial" w:hAnsi="Arial" w:cs="Arial"/>
        </w:rPr>
        <w:t>Με ηλεκτρονικό ταχυδρομείο</w:t>
      </w:r>
    </w:p>
    <w:p w14:paraId="1729D00B" w14:textId="77777777" w:rsidR="009C3936" w:rsidRDefault="00000000" w:rsidP="006B1002">
      <w:pPr>
        <w:spacing w:after="120" w:line="276" w:lineRule="auto"/>
        <w:ind w:left="360"/>
        <w:jc w:val="both"/>
      </w:pPr>
      <w:r w:rsidRPr="006B1002">
        <w:rPr>
          <w:rFonts w:ascii="Arial" w:eastAsia="Times New Roman" w:hAnsi="Arial" w:cs="Arial"/>
          <w:lang w:eastAsia="el-GR"/>
        </w:rPr>
        <w:t>Μέσω προφορικής κατάθεσης</w:t>
      </w:r>
    </w:p>
    <w:p w14:paraId="3A1EF503" w14:textId="77777777" w:rsidR="009C3936" w:rsidRDefault="00000000" w:rsidP="006B1002">
      <w:pPr>
        <w:spacing w:after="120" w:line="276" w:lineRule="auto"/>
        <w:ind w:left="360"/>
        <w:jc w:val="both"/>
      </w:pPr>
      <w:r w:rsidRPr="006B1002">
        <w:rPr>
          <w:rFonts w:ascii="Arial" w:eastAsia="Times New Roman" w:hAnsi="Arial" w:cs="Arial"/>
          <w:lang w:eastAsia="el-GR"/>
        </w:rPr>
        <w:lastRenderedPageBreak/>
        <w:t xml:space="preserve">Μέσω διεξαγωγής ερευνών ή/και ελέγχων </w:t>
      </w:r>
    </w:p>
    <w:p w14:paraId="50AA44B6" w14:textId="77777777" w:rsidR="009C3936" w:rsidRDefault="00000000" w:rsidP="006B1002">
      <w:pPr>
        <w:spacing w:after="120" w:line="276" w:lineRule="auto"/>
        <w:ind w:left="360"/>
        <w:jc w:val="both"/>
      </w:pPr>
      <w:r w:rsidRPr="006B1002">
        <w:rPr>
          <w:rFonts w:ascii="Arial" w:eastAsia="Times New Roman" w:hAnsi="Arial" w:cs="Arial"/>
          <w:lang w:eastAsia="el-GR"/>
        </w:rPr>
        <w:t xml:space="preserve">Μέσω άλλων συστημάτων  </w:t>
      </w:r>
    </w:p>
    <w:p w14:paraId="2F1AE50B" w14:textId="77777777" w:rsidR="009C3936" w:rsidRDefault="00000000" w:rsidP="006B1002">
      <w:pPr>
        <w:spacing w:after="120" w:line="276" w:lineRule="auto"/>
        <w:ind w:left="360"/>
        <w:jc w:val="both"/>
      </w:pPr>
      <w:r w:rsidRPr="006B1002">
        <w:rPr>
          <w:rFonts w:ascii="Arial" w:eastAsia="Times New Roman" w:hAnsi="Arial" w:cs="Arial"/>
          <w:lang w:eastAsia="el-GR"/>
        </w:rPr>
        <w:t>όταν η συλλογή προσωπικών δεδομένων δεν γίνεται από τα ίδια τα υποκείμενα των δεδομένων, η συλλογή τους γίνεται τηρουμένων των διατάξεων του άρθρου 14 του ΓΚΠΔ.</w:t>
      </w:r>
    </w:p>
    <w:p w14:paraId="35D19231" w14:textId="77777777" w:rsidR="009C3936" w:rsidRDefault="009C3936" w:rsidP="006B1002">
      <w:pPr>
        <w:spacing w:after="0" w:line="276" w:lineRule="auto"/>
        <w:jc w:val="both"/>
        <w:rPr>
          <w:rFonts w:ascii="Arial" w:eastAsia="Times New Roman" w:hAnsi="Arial" w:cs="Arial"/>
          <w:lang w:eastAsia="el-GR"/>
        </w:rPr>
      </w:pPr>
    </w:p>
    <w:p w14:paraId="43E2284F" w14:textId="77777777" w:rsidR="009C3936" w:rsidRDefault="00000000" w:rsidP="006B1002">
      <w:pPr>
        <w:pStyle w:val="ListBullet"/>
        <w:numPr>
          <w:ilvl w:val="0"/>
          <w:numId w:val="0"/>
        </w:numPr>
        <w:spacing w:after="240"/>
        <w:ind w:left="360"/>
        <w:jc w:val="both"/>
      </w:pPr>
      <w:r>
        <w:rPr>
          <w:b/>
          <w:bCs/>
          <w:i/>
          <w:iCs/>
          <w:color w:val="0070C0"/>
          <w:sz w:val="22"/>
        </w:rPr>
        <w:t>Πόσο καιρό διατηρεί τα Προσωπικά Δεδομένα η ΑΑΚΔ;</w:t>
      </w:r>
    </w:p>
    <w:p w14:paraId="5631359D" w14:textId="77777777" w:rsidR="009C3936" w:rsidRPr="006B1002" w:rsidRDefault="00000000" w:rsidP="006B1002">
      <w:pPr>
        <w:spacing w:after="0" w:line="276" w:lineRule="auto"/>
        <w:ind w:left="360"/>
        <w:jc w:val="both"/>
        <w:rPr>
          <w:rFonts w:ascii="Arial" w:eastAsia="Times New Roman" w:hAnsi="Arial" w:cs="Arial"/>
          <w:lang w:eastAsia="el-GR"/>
        </w:rPr>
      </w:pPr>
      <w:r w:rsidRPr="006B1002">
        <w:rPr>
          <w:rFonts w:ascii="Arial" w:eastAsia="Times New Roman" w:hAnsi="Arial" w:cs="Arial"/>
          <w:lang w:eastAsia="el-GR"/>
        </w:rPr>
        <w:t xml:space="preserve">Η ΑΑΚΔ διατηρεί τα προσωπικά δεδομένα για όσο χρόνο απαιτείται για τη νόμιμη επεξεργασία τους και συγκεκριμένα για περίοδο που δεν υπερβαίνει τα έξι (6) έτη από την ημερομηνία ολοκλήρωσης της διερεύνησης και εφόσον δεν εκκρεμούν οποιεσδήποτε σχετικές δικαστικές ή/και πειθαρχικές ή/και διοικητικές διαδικασίες, με το πέρας της περιόδου αυτής  διαγράφονται, εκτός εάν η Αρχή κρίνει ότι η περαιτέρω διατήρησή τους για συγκεκριμένο χρονικό διάστημα απαιτείται προς εξυπηρέτηση της αποστολής της, όπως αυτή καθορίζεται στο άρθρο 6 του Ν. 19(I)/2022:. </w:t>
      </w:r>
    </w:p>
    <w:p w14:paraId="38E2BCD9" w14:textId="77777777" w:rsidR="009C3936" w:rsidRPr="006B1002" w:rsidRDefault="00000000" w:rsidP="006B1002">
      <w:pPr>
        <w:spacing w:after="0" w:line="276" w:lineRule="auto"/>
        <w:ind w:left="360"/>
        <w:jc w:val="both"/>
        <w:rPr>
          <w:rFonts w:ascii="Arial" w:eastAsia="Times New Roman" w:hAnsi="Arial" w:cs="Arial"/>
          <w:lang w:eastAsia="el-GR"/>
        </w:rPr>
      </w:pPr>
      <w:r w:rsidRPr="006B1002">
        <w:rPr>
          <w:rFonts w:ascii="Arial" w:eastAsia="Times New Roman" w:hAnsi="Arial" w:cs="Arial"/>
          <w:lang w:eastAsia="el-GR"/>
        </w:rPr>
        <w:t xml:space="preserve">Νοείται ότι, η Αρχή προβαίνει σε </w:t>
      </w:r>
      <w:proofErr w:type="spellStart"/>
      <w:r w:rsidRPr="006B1002">
        <w:rPr>
          <w:rFonts w:ascii="Arial" w:eastAsia="Times New Roman" w:hAnsi="Arial" w:cs="Arial"/>
          <w:lang w:eastAsia="el-GR"/>
        </w:rPr>
        <w:t>επικαιροποίηση</w:t>
      </w:r>
      <w:proofErr w:type="spellEnd"/>
      <w:r w:rsidRPr="006B1002">
        <w:rPr>
          <w:rFonts w:ascii="Arial" w:eastAsia="Times New Roman" w:hAnsi="Arial" w:cs="Arial"/>
          <w:lang w:eastAsia="el-GR"/>
        </w:rPr>
        <w:t xml:space="preserve"> των μητρώων κάθε έξι (6) μήνες και προβαίνει στη διαγραφή δεδομένων προσωπικού χαρακτήρα, τα οποία εκδήλως δεν σχετίζονται με  οποιαδήποτε καταγγελία ή/και πληροφορία ή/και αυτεπάγγελτης διερεύνησης πράξεων διαφθοράς.</w:t>
      </w:r>
    </w:p>
    <w:p w14:paraId="6D73B17D" w14:textId="77777777" w:rsidR="009C3936" w:rsidRDefault="009C3936" w:rsidP="006B1002">
      <w:pPr>
        <w:spacing w:after="0" w:line="276" w:lineRule="auto"/>
        <w:jc w:val="both"/>
        <w:rPr>
          <w:rFonts w:ascii="Arial" w:eastAsia="Times New Roman" w:hAnsi="Arial" w:cs="Arial"/>
          <w:lang w:eastAsia="el-GR"/>
        </w:rPr>
      </w:pPr>
    </w:p>
    <w:p w14:paraId="0A6CEE64" w14:textId="77777777" w:rsidR="009C3936" w:rsidRDefault="00000000" w:rsidP="006B1002">
      <w:pPr>
        <w:pStyle w:val="ListBullet"/>
        <w:numPr>
          <w:ilvl w:val="0"/>
          <w:numId w:val="0"/>
        </w:numPr>
        <w:ind w:left="360"/>
        <w:jc w:val="both"/>
      </w:pPr>
      <w:r>
        <w:rPr>
          <w:b/>
          <w:bCs/>
          <w:i/>
          <w:iCs/>
          <w:color w:val="0070C0"/>
          <w:sz w:val="22"/>
        </w:rPr>
        <w:t>Πόσο ασφαλισμένα είναι τα Προσωπικά Δεδομένα που επεξεργάζεται η ΑΑΚΔ</w:t>
      </w:r>
      <w:r>
        <w:rPr>
          <w:sz w:val="22"/>
        </w:rPr>
        <w:t>;</w:t>
      </w:r>
    </w:p>
    <w:p w14:paraId="10022E0D" w14:textId="77777777" w:rsidR="009C3936" w:rsidRDefault="00000000" w:rsidP="006B1002">
      <w:pPr>
        <w:spacing w:before="240" w:after="240" w:line="276" w:lineRule="auto"/>
        <w:ind w:left="360"/>
        <w:jc w:val="both"/>
      </w:pPr>
      <w:r w:rsidRPr="006B1002">
        <w:rPr>
          <w:rFonts w:ascii="Arial" w:eastAsia="Times New Roman" w:hAnsi="Arial" w:cs="Arial"/>
          <w:lang w:eastAsia="el-GR"/>
        </w:rPr>
        <w:t xml:space="preserve">Η ΑΑΚΔ εφαρμόζει πιστά τις πρόνοιες του Κανονισμού 2016/679 και λαμβάνει τα κατάλληλα τεχνικά, οργανωτικά και μέτρα φυσικής ασφάλειας καθώς και διοικητικά μέτρα για τη διασφάλιση της προστασίας των προσωπικών δεδομένων που συλλέγει, επεξεργάζεται και τηρεί  από τυχαία ή αθέμιτη καταστροφή, τυχαία απώλεια, αλλοίωση, απαγορευμένη διάδοση ή πρόσβαση ή οποιαδήποτε άλλη μορφή αθέμιτης επεξεργασίας. </w:t>
      </w:r>
    </w:p>
    <w:p w14:paraId="3EAD5348" w14:textId="77777777" w:rsidR="009C3936" w:rsidRPr="006B1002" w:rsidRDefault="00000000" w:rsidP="006B1002">
      <w:pPr>
        <w:spacing w:before="240" w:after="240" w:line="276" w:lineRule="auto"/>
        <w:ind w:left="360"/>
        <w:jc w:val="both"/>
        <w:rPr>
          <w:rFonts w:ascii="Arial" w:eastAsia="Times New Roman" w:hAnsi="Arial" w:cs="Arial"/>
          <w:lang w:eastAsia="el-GR"/>
        </w:rPr>
      </w:pPr>
      <w:r w:rsidRPr="006B1002">
        <w:rPr>
          <w:rFonts w:ascii="Arial" w:eastAsia="Times New Roman" w:hAnsi="Arial" w:cs="Arial"/>
          <w:lang w:eastAsia="el-GR"/>
        </w:rPr>
        <w:t xml:space="preserve">Όλα τα προσωπικά δεδομένα σε ηλεκτρονική μορφή φυλάγονται με ασφάλεια και προστατεύονται επιπρόσθετα, μέσα από τη χρήση κατάλληλων ελέγχων πρόσβασης. Πρόσβαση σε έγγραφα σε έντυπη και σε ηλεκτρονική μορφή που περιέχουν προσωπικά δεδομένα έχει μόνο εξουσιοδοτημένο προσωπικό της ΑΑΚΔ με βάση τα καθήκοντά του, οι Λειτουργοί Επιθεώρησης της ΑΑΚΔ και πρόσωπα εξουσιοδοτημένα από την Αρχή για την εκπλήρωση καθηκόντων που εμπίπτουν εντός των αρμοδιοτήτων ή/και εξουσιών της Αρχής, σύμφωνα με την αρχή «ανάγκης γνώσης» που επιβάλλουν τη συγκεκριμένη πράξη επεξεργασίας και /ή πρόσβαση. Δηλαδή λαμβάνονται από την ΑΑΚΔ μέτρα ώστε να έχουν πρόσβαση σε αυτά μόνο τα άτομα τα οποία χρειάζεται να έχουν πρόσβαση σε αυτά. </w:t>
      </w:r>
    </w:p>
    <w:p w14:paraId="1A60D197" w14:textId="77777777" w:rsidR="009C3936" w:rsidRPr="006B1002" w:rsidRDefault="00000000" w:rsidP="006B1002">
      <w:pPr>
        <w:spacing w:before="240" w:after="240" w:line="276" w:lineRule="auto"/>
        <w:ind w:left="360"/>
        <w:jc w:val="both"/>
        <w:rPr>
          <w:rFonts w:ascii="Arial" w:eastAsia="Times New Roman" w:hAnsi="Arial" w:cs="Arial"/>
          <w:lang w:eastAsia="el-GR"/>
        </w:rPr>
      </w:pPr>
      <w:r w:rsidRPr="006B1002">
        <w:rPr>
          <w:rFonts w:ascii="Arial" w:eastAsia="Times New Roman" w:hAnsi="Arial" w:cs="Arial"/>
          <w:lang w:eastAsia="el-GR"/>
        </w:rPr>
        <w:t xml:space="preserve">Καταγράφονται επίσης οι ρόλοι και τα δικαιώματα πρόσβασης του εξουσιοδοτημένου προσωπικού. Οι καταχωρήσεις </w:t>
      </w:r>
      <w:proofErr w:type="spellStart"/>
      <w:r w:rsidRPr="006B1002">
        <w:rPr>
          <w:rFonts w:ascii="Arial" w:eastAsia="Times New Roman" w:hAnsi="Arial" w:cs="Arial"/>
          <w:lang w:eastAsia="el-GR"/>
        </w:rPr>
        <w:t>επικαιροποιούνται</w:t>
      </w:r>
      <w:proofErr w:type="spellEnd"/>
      <w:r w:rsidRPr="006B1002">
        <w:rPr>
          <w:rFonts w:ascii="Arial" w:eastAsia="Times New Roman" w:hAnsi="Arial" w:cs="Arial"/>
          <w:lang w:eastAsia="el-GR"/>
        </w:rPr>
        <w:t xml:space="preserve"> με κάθε αλλαγή. Τηρούνται κι </w:t>
      </w:r>
      <w:r w:rsidRPr="006B1002">
        <w:rPr>
          <w:rFonts w:ascii="Arial" w:eastAsia="Times New Roman" w:hAnsi="Arial" w:cs="Arial"/>
          <w:lang w:eastAsia="el-GR"/>
        </w:rPr>
        <w:lastRenderedPageBreak/>
        <w:t>ελέγχονται αρχεία καταγραφής όλων των ενεργειών των χρηστών. Στα αρχεία αυτά είναι αυστηρά περιορισμένη η πρόσβαση.</w:t>
      </w:r>
    </w:p>
    <w:p w14:paraId="0F555EEE" w14:textId="77777777" w:rsidR="009C3936" w:rsidRPr="006B1002" w:rsidRDefault="00000000" w:rsidP="006B1002">
      <w:pPr>
        <w:spacing w:before="240" w:after="240" w:line="276" w:lineRule="auto"/>
        <w:ind w:left="360"/>
        <w:jc w:val="both"/>
        <w:rPr>
          <w:rFonts w:ascii="Arial" w:eastAsia="Times New Roman" w:hAnsi="Arial" w:cs="Arial"/>
          <w:lang w:eastAsia="el-GR"/>
        </w:rPr>
      </w:pPr>
      <w:r w:rsidRPr="006B1002">
        <w:rPr>
          <w:rFonts w:ascii="Arial" w:eastAsia="Times New Roman" w:hAnsi="Arial" w:cs="Arial"/>
          <w:lang w:eastAsia="el-GR"/>
        </w:rPr>
        <w:t xml:space="preserve">Η Αρχή με εσωτερική οδηγία και όπου χρειάζεται καθορίζει διαδικασίες για να ρυθμίσει ζητήματα, προσβασιμότητας, διαχείρισης και ασφαλούς επεξεργασίας, των δεδομένων προσωπικού χαρακτήρα που συλλέγει.  </w:t>
      </w:r>
    </w:p>
    <w:p w14:paraId="59279877" w14:textId="77777777" w:rsidR="009C3936" w:rsidRPr="006B1002" w:rsidRDefault="00000000" w:rsidP="006B1002">
      <w:pPr>
        <w:tabs>
          <w:tab w:val="left" w:pos="284"/>
          <w:tab w:val="left" w:pos="397"/>
        </w:tabs>
        <w:spacing w:line="276" w:lineRule="auto"/>
        <w:ind w:left="360"/>
        <w:jc w:val="both"/>
        <w:rPr>
          <w:rFonts w:ascii="Arial" w:eastAsia="Times New Roman" w:hAnsi="Arial" w:cs="Arial"/>
          <w:lang w:eastAsia="el-GR"/>
        </w:rPr>
      </w:pPr>
      <w:r w:rsidRPr="006B1002">
        <w:rPr>
          <w:rFonts w:ascii="Arial" w:eastAsia="Times New Roman" w:hAnsi="Arial" w:cs="Arial"/>
          <w:lang w:eastAsia="el-GR"/>
        </w:rPr>
        <w:t>Οι πληροφορίες και τα δεδομένα προσωπικού χαρακτήρα που παρέχονται στην Αρχή κατά την άσκηση της εξουσίας της είναι εμπιστευτικής φύσεως και δυνατόν να χρησιμοποιηθούν μόνο για τους σκοπούς άσκησης των αρμοδιοτήτων της.</w:t>
      </w:r>
    </w:p>
    <w:p w14:paraId="5F10FC6C" w14:textId="77777777" w:rsidR="009C3936" w:rsidRPr="006B1002" w:rsidRDefault="00000000" w:rsidP="006B1002">
      <w:pPr>
        <w:tabs>
          <w:tab w:val="left" w:pos="284"/>
          <w:tab w:val="left" w:pos="397"/>
        </w:tabs>
        <w:spacing w:line="276" w:lineRule="auto"/>
        <w:ind w:left="360"/>
        <w:jc w:val="both"/>
        <w:rPr>
          <w:rFonts w:ascii="Arial" w:eastAsia="Times New Roman" w:hAnsi="Arial" w:cs="Arial"/>
          <w:lang w:eastAsia="el-GR"/>
        </w:rPr>
      </w:pPr>
      <w:r w:rsidRPr="006B1002">
        <w:rPr>
          <w:rFonts w:ascii="Arial" w:eastAsia="Times New Roman" w:hAnsi="Arial" w:cs="Arial"/>
          <w:lang w:eastAsia="el-GR"/>
        </w:rPr>
        <w:t>Δεδομένα προσωπικού χαρακτήρα τα οποία εκδήλως δεν σχετίζονται με τη διερεύνηση και αξιολόγηση συγκεκριμένης καταγγελίας δεν συλλέγονται ή, εάν συλλεχθούν τυχαία, διαγράφονται χωρίς άσκοπη καθυστέρηση.</w:t>
      </w:r>
    </w:p>
    <w:tbl>
      <w:tblPr>
        <w:tblW w:w="9072" w:type="dxa"/>
        <w:tblLayout w:type="fixed"/>
        <w:tblCellMar>
          <w:left w:w="10" w:type="dxa"/>
          <w:right w:w="10" w:type="dxa"/>
        </w:tblCellMar>
        <w:tblLook w:val="0000" w:firstRow="0" w:lastRow="0" w:firstColumn="0" w:lastColumn="0" w:noHBand="0" w:noVBand="0"/>
      </w:tblPr>
      <w:tblGrid>
        <w:gridCol w:w="9072"/>
      </w:tblGrid>
      <w:tr w:rsidR="009C3936" w14:paraId="798426D8" w14:textId="77777777">
        <w:tblPrEx>
          <w:tblCellMar>
            <w:top w:w="0" w:type="dxa"/>
            <w:bottom w:w="0" w:type="dxa"/>
          </w:tblCellMar>
        </w:tblPrEx>
        <w:tc>
          <w:tcPr>
            <w:tcW w:w="9072" w:type="dxa"/>
            <w:shd w:val="clear" w:color="auto" w:fill="auto"/>
            <w:tcMar>
              <w:top w:w="0" w:type="dxa"/>
              <w:left w:w="108" w:type="dxa"/>
              <w:bottom w:w="0" w:type="dxa"/>
              <w:right w:w="108" w:type="dxa"/>
            </w:tcMar>
          </w:tcPr>
          <w:p w14:paraId="29B0AA5B" w14:textId="77777777" w:rsidR="009C3936" w:rsidRPr="006B1002" w:rsidRDefault="00000000" w:rsidP="006B1002">
            <w:pPr>
              <w:widowControl w:val="0"/>
              <w:tabs>
                <w:tab w:val="left" w:pos="964"/>
              </w:tabs>
              <w:spacing w:line="276" w:lineRule="auto"/>
              <w:ind w:left="360"/>
              <w:jc w:val="both"/>
              <w:rPr>
                <w:rFonts w:ascii="Arial" w:eastAsia="Times New Roman" w:hAnsi="Arial" w:cs="Arial"/>
                <w:lang w:eastAsia="el-GR"/>
              </w:rPr>
            </w:pPr>
            <w:r w:rsidRPr="006B1002">
              <w:rPr>
                <w:rFonts w:ascii="Arial" w:eastAsia="Times New Roman" w:hAnsi="Arial" w:cs="Arial"/>
                <w:lang w:eastAsia="el-GR"/>
              </w:rPr>
              <w:t>Τηρουμένων των διατάξεων του περί της Πρόσβασης σε Πληροφορίες του Δημόσιου Τομέα Νόμου, πρόσβαση στις πληροφορίες και τα δεδομένα προσωπικού χαρακτήρα που διατηρούνται στο μητρώο καταγγελιών έχουν μόνο τα μέλη της Αρχής, οι εξουσιοδοτημένοι λειτουργοί επιθεώρησης και πρόσωπα τα οποία έχουν υποβάλει καταγγελία στην Αρχή, στο πλαίσιο άσκησης των δικαιωμάτων τους, δυνάμει των διατάξεων του ΓΚΠΔ και του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Νόμου, και μόνο σε σχέση με τα δικά τους δεδομένα προσωπικού χαρακτήρα.</w:t>
            </w:r>
          </w:p>
        </w:tc>
      </w:tr>
    </w:tbl>
    <w:p w14:paraId="5DD318BD" w14:textId="77777777" w:rsidR="009C3936" w:rsidRDefault="009C3936" w:rsidP="006B1002">
      <w:pPr>
        <w:tabs>
          <w:tab w:val="left" w:pos="284"/>
          <w:tab w:val="left" w:pos="397"/>
        </w:tabs>
        <w:spacing w:line="276" w:lineRule="auto"/>
        <w:jc w:val="both"/>
        <w:rPr>
          <w:rFonts w:ascii="Arial" w:eastAsia="Times New Roman" w:hAnsi="Arial" w:cs="Arial"/>
          <w:lang w:eastAsia="el-GR"/>
        </w:rPr>
      </w:pPr>
    </w:p>
    <w:p w14:paraId="0668F6A3" w14:textId="77777777" w:rsidR="009C3936" w:rsidRDefault="00000000" w:rsidP="006B1002">
      <w:pPr>
        <w:pStyle w:val="ListBullet"/>
        <w:numPr>
          <w:ilvl w:val="0"/>
          <w:numId w:val="0"/>
        </w:numPr>
        <w:spacing w:before="240" w:after="240"/>
        <w:ind w:left="360"/>
        <w:jc w:val="both"/>
      </w:pPr>
      <w:r>
        <w:rPr>
          <w:b/>
          <w:bCs/>
          <w:i/>
          <w:iCs/>
          <w:color w:val="0070C0"/>
          <w:sz w:val="22"/>
        </w:rPr>
        <w:t>Σε ποιους κοινοποιεί Προσωπικά Δεδομένα η ΑΑΚΔ και πότε;</w:t>
      </w:r>
    </w:p>
    <w:p w14:paraId="03CA74E1" w14:textId="77777777" w:rsidR="009C3936" w:rsidRDefault="00000000" w:rsidP="006B1002">
      <w:pPr>
        <w:spacing w:before="240" w:after="240" w:line="276" w:lineRule="auto"/>
        <w:ind w:left="360"/>
        <w:jc w:val="both"/>
      </w:pPr>
      <w:r w:rsidRPr="006B1002">
        <w:rPr>
          <w:rFonts w:ascii="Arial" w:eastAsia="Times New Roman" w:hAnsi="Arial" w:cs="Arial"/>
          <w:lang w:eastAsia="el-GR"/>
        </w:rPr>
        <w:t xml:space="preserve">Η ΑΑΚΔ κοινοποιεί και ή επιτρέπει ή δίνει πρόσβαση στα Προσωπικά Δεδομένα, στις πιο κάτω περιπτώσεις: </w:t>
      </w:r>
    </w:p>
    <w:p w14:paraId="08F28EEB" w14:textId="77777777" w:rsidR="009C3936" w:rsidRPr="006B1002" w:rsidRDefault="00000000" w:rsidP="006B1002">
      <w:pPr>
        <w:spacing w:before="240" w:after="240" w:line="276" w:lineRule="auto"/>
        <w:ind w:left="360"/>
        <w:jc w:val="both"/>
        <w:rPr>
          <w:rFonts w:ascii="Arial" w:eastAsia="Times New Roman" w:hAnsi="Arial" w:cs="Arial"/>
          <w:lang w:eastAsia="el-GR"/>
        </w:rPr>
      </w:pPr>
      <w:r w:rsidRPr="006B1002">
        <w:rPr>
          <w:rFonts w:ascii="Arial" w:eastAsia="Times New Roman" w:hAnsi="Arial" w:cs="Arial"/>
          <w:lang w:eastAsia="el-GR"/>
        </w:rPr>
        <w:t xml:space="preserve">Στους Λειτουργούς επιθεώρησης προς το σκοπό διερεύνησης και αξιολόγησης καταγγελιών ή/και πληροφοριών που διενεργούνται δυνάμει των διατάξεων του Ν. 19(Ι)/2021. </w:t>
      </w:r>
    </w:p>
    <w:p w14:paraId="5C61832B" w14:textId="77777777" w:rsidR="009C3936" w:rsidRDefault="00000000" w:rsidP="006B1002">
      <w:pPr>
        <w:spacing w:before="240" w:after="240" w:line="276" w:lineRule="auto"/>
        <w:ind w:left="360"/>
        <w:jc w:val="both"/>
      </w:pPr>
      <w:r w:rsidRPr="006B1002">
        <w:rPr>
          <w:rFonts w:ascii="Arial" w:eastAsia="Times New Roman" w:hAnsi="Arial" w:cs="Arial"/>
          <w:lang w:eastAsia="el-GR"/>
        </w:rPr>
        <w:t xml:space="preserve">Στους Συνεργάτες της ΑΑΚΔ, όπου η ανάθεση των καθηκόντων τους θα γίνεται για συγκεκριμένο σκοπό σύμφωνα με τη </w:t>
      </w:r>
      <w:r w:rsidRPr="006B1002">
        <w:rPr>
          <w:rFonts w:ascii="Arial" w:hAnsi="Arial" w:cs="Arial"/>
        </w:rPr>
        <w:t xml:space="preserve">Σύμβαση Υπηρεσιών που θα υπογράφεται με τον εκάστοτε Συνεργάτη. </w:t>
      </w:r>
    </w:p>
    <w:p w14:paraId="23F1F27F" w14:textId="77777777" w:rsidR="009C3936" w:rsidRPr="006B1002" w:rsidRDefault="00000000" w:rsidP="006B1002">
      <w:pPr>
        <w:spacing w:before="240" w:after="240" w:line="276" w:lineRule="auto"/>
        <w:ind w:left="360"/>
        <w:jc w:val="both"/>
        <w:rPr>
          <w:rFonts w:ascii="Arial" w:eastAsia="Times New Roman" w:hAnsi="Arial" w:cs="Arial"/>
          <w:lang w:eastAsia="el-GR"/>
        </w:rPr>
      </w:pPr>
      <w:r w:rsidRPr="006B1002">
        <w:rPr>
          <w:rFonts w:ascii="Arial" w:eastAsia="Times New Roman" w:hAnsi="Arial" w:cs="Arial"/>
          <w:lang w:eastAsia="el-GR"/>
        </w:rPr>
        <w:t>Στον Γενικό Ελεγκτή για την ανταλλαγή πληροφοριών και τη λήψη τεχνικής βοήθειας για την καταπολέμηση της διαφθοράς, καθώς και για ελέγχους που εμπίπτουν στις αρμοδιότητες και εξουσίες του Γενικού Ελεγκτή.</w:t>
      </w:r>
    </w:p>
    <w:p w14:paraId="13F0BEDE" w14:textId="77777777" w:rsidR="009C3936" w:rsidRDefault="00000000" w:rsidP="006B1002">
      <w:pPr>
        <w:spacing w:after="120" w:line="276" w:lineRule="auto"/>
        <w:ind w:left="360"/>
        <w:jc w:val="both"/>
      </w:pPr>
      <w:r w:rsidRPr="006B1002">
        <w:rPr>
          <w:rFonts w:ascii="Arial" w:eastAsia="Times New Roman" w:hAnsi="Arial" w:cs="Arial"/>
          <w:lang w:eastAsia="el-GR"/>
        </w:rPr>
        <w:lastRenderedPageBreak/>
        <w:t>Στον Γενικό Εισαγγελέα σε περίπτωση που διαπιστωθεί ενδεχόμενη παράβαση, η οποία δυνατόν να συνιστά ποινικό αδίκημα και σε περίπτωση κατά την οποία η Αρχή κρίνει σε οποιοδήποτε στάδιο εξέτασης ή/και διερεύνησης καταγγελίας ή/και πληροφοριών δυνάμει των διατάξεων του Ν. 19(</w:t>
      </w:r>
      <w:r w:rsidRPr="006B1002">
        <w:rPr>
          <w:rFonts w:ascii="Arial" w:eastAsia="Times New Roman" w:hAnsi="Arial" w:cs="Arial"/>
          <w:lang w:val="en-US" w:eastAsia="el-GR"/>
        </w:rPr>
        <w:t>I</w:t>
      </w:r>
      <w:r w:rsidRPr="006B1002">
        <w:rPr>
          <w:rFonts w:ascii="Arial" w:eastAsia="Times New Roman" w:hAnsi="Arial" w:cs="Arial"/>
          <w:lang w:eastAsia="el-GR"/>
        </w:rPr>
        <w:t>)/2022, ότι καταγγελία ή/και πληροφορία δεν αφορά αποκλειστικά πράξη διαφθοράς αλλά αφορά και άλλα αδικήματα.</w:t>
      </w:r>
    </w:p>
    <w:p w14:paraId="15D6FE21" w14:textId="77777777" w:rsidR="009C3936" w:rsidRDefault="00000000" w:rsidP="006B1002">
      <w:pPr>
        <w:spacing w:after="120" w:line="276" w:lineRule="auto"/>
        <w:ind w:left="360"/>
        <w:jc w:val="both"/>
      </w:pPr>
      <w:r w:rsidRPr="006B1002">
        <w:rPr>
          <w:rFonts w:ascii="Arial" w:eastAsia="Times New Roman" w:hAnsi="Arial" w:cs="Arial"/>
          <w:lang w:eastAsia="el-GR"/>
        </w:rPr>
        <w:t xml:space="preserve"> Σε αρμόδια δημόσια αρχή ή υπηρεσία για διενέργεια πειθαρχικής έρευνας σε περίπτωση που διαπιστωθεί ενδεχόμενη διάπραξη πειθαρχικού αδικήματος.  </w:t>
      </w:r>
    </w:p>
    <w:p w14:paraId="73DFE34B" w14:textId="77777777" w:rsidR="009C3936" w:rsidRDefault="00000000" w:rsidP="006B1002">
      <w:pPr>
        <w:spacing w:after="120" w:line="276" w:lineRule="auto"/>
        <w:ind w:left="360"/>
        <w:jc w:val="both"/>
      </w:pPr>
      <w:r w:rsidRPr="006B1002">
        <w:rPr>
          <w:rFonts w:ascii="Arial" w:eastAsia="Times New Roman" w:hAnsi="Arial" w:cs="Arial"/>
          <w:lang w:eastAsia="el-GR"/>
        </w:rPr>
        <w:t xml:space="preserve">Σε φυσικό ή νομικό πρόσωπο, δημόσια αρχή, υπηρεσία ή άλλο φορέα εάν το απαιτεί οποιαδήποτε Νομοθεσία ή δικαστική απόφαση ή απόφαση αρμόδιας αρχής. </w:t>
      </w:r>
    </w:p>
    <w:p w14:paraId="6F1FB3FF" w14:textId="77777777" w:rsidR="009C3936" w:rsidRDefault="00000000" w:rsidP="006B1002">
      <w:pPr>
        <w:spacing w:after="120" w:line="276" w:lineRule="auto"/>
        <w:ind w:left="360"/>
        <w:jc w:val="both"/>
      </w:pPr>
      <w:r w:rsidRPr="006B1002">
        <w:rPr>
          <w:rFonts w:ascii="Arial" w:eastAsia="Times New Roman" w:hAnsi="Arial" w:cs="Arial"/>
          <w:lang w:eastAsia="el-GR"/>
        </w:rPr>
        <w:t>Εκτός όπως αναφέρεται πιο πάνω, η ΑΑΚΔ δεν κοινοποιεί ή δημοσιοποιεί προσωπικά δεδομένα σε οποιοδήποτε τρίτο, χωρίς την ενημέρωση του υποκειμένου των δεδομένων και εάν απαιτείται, την εξασφάλιση της συγκατάθεσης του εκ των προτέρων.</w:t>
      </w:r>
    </w:p>
    <w:p w14:paraId="2E49324D" w14:textId="77777777" w:rsidR="009C3936" w:rsidRDefault="00000000" w:rsidP="006B1002">
      <w:pPr>
        <w:pStyle w:val="ListBullet"/>
        <w:numPr>
          <w:ilvl w:val="0"/>
          <w:numId w:val="0"/>
        </w:numPr>
        <w:spacing w:after="240"/>
        <w:ind w:left="360"/>
        <w:jc w:val="both"/>
        <w:rPr>
          <w:b/>
          <w:bCs/>
          <w:i/>
          <w:iCs/>
          <w:color w:val="0070C0"/>
          <w:sz w:val="22"/>
        </w:rPr>
      </w:pPr>
      <w:r>
        <w:rPr>
          <w:b/>
          <w:bCs/>
          <w:i/>
          <w:iCs/>
          <w:color w:val="0070C0"/>
          <w:sz w:val="22"/>
        </w:rPr>
        <w:t>Άσκηση των δικαιωμάτων – ικανοποίηση των αιτημάτων των υποκειμένων των δεδομένων</w:t>
      </w:r>
    </w:p>
    <w:p w14:paraId="491B86C5" w14:textId="77777777" w:rsidR="009C3936" w:rsidRDefault="00000000" w:rsidP="006B1002">
      <w:pPr>
        <w:spacing w:after="0" w:line="276" w:lineRule="auto"/>
        <w:ind w:left="360"/>
        <w:jc w:val="both"/>
      </w:pPr>
      <w:r w:rsidRPr="006B1002">
        <w:rPr>
          <w:rFonts w:ascii="Arial" w:hAnsi="Arial" w:cs="Arial"/>
        </w:rPr>
        <w:t>Αναφορικά με την προστασία των δεδομένων προσωπικού χαρακτήρα κάθε υποκείμενο έχει τη δυνατότητα, υποβάλλοντας σχετικό αίτημα στην ΑΑΚΔ, να ασκήσει τα δικαιώματα που προβλέπονται στο Κεφ. ΙΙΙ του ΓΚΠΔ όπως δικαίωμα πρόσβασης, διόρθωσης, διαγραφής, περιορισμού της επεξεργασίας κ.λπ.  Για την άσκηση των δικαιωμάτων αυτών μπορεί να απευθύνεται στον Υπεύθυνο Προστασίας Δεδομένων.</w:t>
      </w:r>
      <w:r w:rsidRPr="006B1002">
        <w:rPr>
          <w:rFonts w:ascii="roboto_slabregular" w:eastAsia="Times New Roman" w:hAnsi="roboto_slabregular"/>
          <w:sz w:val="24"/>
          <w:szCs w:val="24"/>
        </w:rPr>
        <w:t xml:space="preserve"> </w:t>
      </w:r>
      <w:r w:rsidRPr="006B1002">
        <w:rPr>
          <w:rFonts w:ascii="roboto_slabregular" w:eastAsia="Times New Roman" w:hAnsi="roboto_slabregular"/>
        </w:rPr>
        <w:t xml:space="preserve">Εάν η ικανοποίηση του αιτήματος δεν καταστεί δυνατή τότε η ΑΑΚΔ ενημερώνει </w:t>
      </w:r>
      <w:r w:rsidRPr="006B1002">
        <w:rPr>
          <w:rFonts w:ascii="Arial" w:hAnsi="Arial" w:cs="Arial"/>
        </w:rPr>
        <w:t>χωρίς καθυστέρηση και το αργότερο εντός μηνός από την παραλαβή του αιτήματος, για τους σχετικούς λόγους και για τη δυνατότητα να υποβληθεί καταγγελία στην ΕΠΔΠΧ, καθώς και για το δικαίωμα προσφυγής ενώπιον των αρμόδιων δικαστικών αρχών.</w:t>
      </w:r>
    </w:p>
    <w:p w14:paraId="400E0264" w14:textId="77777777" w:rsidR="009C3936" w:rsidRDefault="009C3936" w:rsidP="006B1002">
      <w:pPr>
        <w:spacing w:after="0" w:line="276" w:lineRule="auto"/>
        <w:jc w:val="both"/>
        <w:rPr>
          <w:rFonts w:ascii="Arial" w:hAnsi="Arial" w:cs="Arial"/>
        </w:rPr>
      </w:pPr>
    </w:p>
    <w:p w14:paraId="747E9376" w14:textId="77777777" w:rsidR="009C3936" w:rsidRDefault="00000000" w:rsidP="006B1002">
      <w:pPr>
        <w:pStyle w:val="ListBullet"/>
        <w:numPr>
          <w:ilvl w:val="0"/>
          <w:numId w:val="0"/>
        </w:numPr>
        <w:spacing w:after="240"/>
        <w:ind w:left="360"/>
        <w:jc w:val="both"/>
      </w:pPr>
      <w:r>
        <w:rPr>
          <w:b/>
          <w:bCs/>
          <w:i/>
          <w:iCs/>
          <w:color w:val="0070C0"/>
          <w:sz w:val="22"/>
        </w:rPr>
        <w:t>Ποιος είναι ο Υπεύθυνος Προστασίας Δεδομένων της ΑΑΚΔ</w:t>
      </w:r>
    </w:p>
    <w:p w14:paraId="36EC0D9A" w14:textId="77777777" w:rsidR="009C3936" w:rsidRDefault="00000000" w:rsidP="006B1002">
      <w:pPr>
        <w:shd w:val="clear" w:color="auto" w:fill="FFFFFF"/>
        <w:spacing w:after="0" w:line="276" w:lineRule="auto"/>
        <w:ind w:left="360"/>
        <w:jc w:val="both"/>
      </w:pPr>
      <w:r w:rsidRPr="006B1002">
        <w:rPr>
          <w:rFonts w:ascii="Arial" w:eastAsia="Times New Roman" w:hAnsi="Arial" w:cs="Arial"/>
          <w:color w:val="000000"/>
        </w:rPr>
        <w:t xml:space="preserve">Εάν έχετε οποιεσδήποτε απορίες,  θα θέλατε περισσότερες λεπτομέρειες σχετικά με την επεξεργασία των προσωπικών σας δεδομένων, ή επιθυμείτε να ασκήσετε τα πιο πάνω δικαιώματά σας μπορείτε να επικοινωνήσετε με την Υπεύθυνη Προστασίας Δεδομένων της ΑΑΚΔ, κα Χαρά </w:t>
      </w:r>
      <w:proofErr w:type="spellStart"/>
      <w:r w:rsidRPr="006B1002">
        <w:rPr>
          <w:rFonts w:ascii="Arial" w:eastAsia="Times New Roman" w:hAnsi="Arial" w:cs="Arial"/>
          <w:color w:val="000000"/>
        </w:rPr>
        <w:t>Καλλίσιη</w:t>
      </w:r>
      <w:proofErr w:type="spellEnd"/>
      <w:r w:rsidRPr="006B1002">
        <w:rPr>
          <w:rFonts w:ascii="Arial" w:eastAsia="Times New Roman" w:hAnsi="Arial" w:cs="Arial"/>
          <w:color w:val="000000"/>
        </w:rPr>
        <w:t xml:space="preserve"> στη διεύθυνση Μάρκου Δράκου 10, 5</w:t>
      </w:r>
      <w:r w:rsidRPr="006B1002">
        <w:rPr>
          <w:rFonts w:ascii="Arial" w:eastAsia="Times New Roman" w:hAnsi="Arial" w:cs="Arial"/>
          <w:color w:val="000000"/>
          <w:vertAlign w:val="superscript"/>
        </w:rPr>
        <w:t>ο</w:t>
      </w:r>
      <w:r w:rsidRPr="006B1002">
        <w:rPr>
          <w:rFonts w:ascii="Arial" w:eastAsia="Times New Roman" w:hAnsi="Arial" w:cs="Arial"/>
          <w:color w:val="000000"/>
        </w:rPr>
        <w:t xml:space="preserve"> όροφο, 1040 Λευκωσία ή στην ηλεκτρονική διεύθυνση </w:t>
      </w:r>
      <w:r w:rsidRPr="006B1002">
        <w:rPr>
          <w:rStyle w:val="Hyperlink"/>
          <w:rFonts w:ascii="Arial" w:hAnsi="Arial" w:cs="Arial"/>
        </w:rPr>
        <w:t>ckallishi</w:t>
      </w:r>
      <w:hyperlink r:id="rId7" w:history="1">
        <w:r w:rsidRPr="006B1002">
          <w:rPr>
            <w:rStyle w:val="Hyperlink"/>
            <w:rFonts w:ascii="Arial" w:hAnsi="Arial" w:cs="Arial"/>
          </w:rPr>
          <w:t>@papd.mof.gov.cy</w:t>
        </w:r>
      </w:hyperlink>
      <w:r w:rsidRPr="006B1002">
        <w:rPr>
          <w:rFonts w:ascii="Arial" w:eastAsia="Times New Roman" w:hAnsi="Arial" w:cs="Arial"/>
          <w:color w:val="000000"/>
        </w:rPr>
        <w:t>.</w:t>
      </w:r>
    </w:p>
    <w:p w14:paraId="18D2B0FA" w14:textId="77777777" w:rsidR="009C3936" w:rsidRDefault="009C3936" w:rsidP="006B1002">
      <w:pPr>
        <w:pStyle w:val="ListParagraph"/>
        <w:spacing w:after="0" w:line="276" w:lineRule="auto"/>
        <w:jc w:val="both"/>
        <w:rPr>
          <w:rFonts w:ascii="Arial" w:hAnsi="Arial" w:cs="Arial"/>
        </w:rPr>
      </w:pPr>
    </w:p>
    <w:p w14:paraId="65DC2D1A" w14:textId="77777777" w:rsidR="009C3936" w:rsidRDefault="009C3936" w:rsidP="006B1002">
      <w:pPr>
        <w:spacing w:after="120" w:line="276" w:lineRule="auto"/>
        <w:jc w:val="both"/>
      </w:pPr>
    </w:p>
    <w:sectPr w:rsidR="009C3936">
      <w:headerReference w:type="default" r:id="rId8"/>
      <w:footerReference w:type="default" r:id="rId9"/>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34A6B" w14:textId="77777777" w:rsidR="00E10B65" w:rsidRDefault="00E10B65">
      <w:pPr>
        <w:spacing w:after="0"/>
      </w:pPr>
      <w:r>
        <w:separator/>
      </w:r>
    </w:p>
  </w:endnote>
  <w:endnote w:type="continuationSeparator" w:id="0">
    <w:p w14:paraId="038C7C88" w14:textId="77777777" w:rsidR="00E10B65" w:rsidRDefault="00E10B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roboto_slabregular">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DED6" w14:textId="77777777" w:rsidR="00DF0647" w:rsidRDefault="00000000">
    <w:pPr>
      <w:pStyle w:val="Footer"/>
      <w:jc w:val="right"/>
    </w:pPr>
    <w:r>
      <w:fldChar w:fldCharType="begin"/>
    </w:r>
    <w:r>
      <w:instrText xml:space="preserve"> PAGE </w:instrText>
    </w:r>
    <w:r>
      <w:fldChar w:fldCharType="separate"/>
    </w:r>
    <w:r>
      <w:t>3</w:t>
    </w:r>
    <w:r>
      <w:fldChar w:fldCharType="end"/>
    </w:r>
  </w:p>
  <w:p w14:paraId="44BEBA58" w14:textId="77777777" w:rsidR="00DF064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4DCC4" w14:textId="77777777" w:rsidR="00E10B65" w:rsidRDefault="00E10B65">
      <w:pPr>
        <w:spacing w:after="0"/>
      </w:pPr>
      <w:r>
        <w:rPr>
          <w:color w:val="000000"/>
        </w:rPr>
        <w:separator/>
      </w:r>
    </w:p>
  </w:footnote>
  <w:footnote w:type="continuationSeparator" w:id="0">
    <w:p w14:paraId="5AEB95C9" w14:textId="77777777" w:rsidR="00E10B65" w:rsidRDefault="00E10B65">
      <w:pPr>
        <w:spacing w:after="0"/>
      </w:pPr>
      <w:r>
        <w:continuationSeparator/>
      </w:r>
    </w:p>
  </w:footnote>
  <w:footnote w:id="1">
    <w:p w14:paraId="3D6E0589" w14:textId="77777777" w:rsidR="009C3936" w:rsidRDefault="00000000">
      <w:pPr>
        <w:pStyle w:val="FootnoteText"/>
        <w:spacing w:before="0" w:line="240" w:lineRule="auto"/>
      </w:pPr>
      <w:r>
        <w:rPr>
          <w:rStyle w:val="FootnoteReference"/>
        </w:rPr>
        <w:footnoteRef/>
      </w:r>
      <w:r>
        <w:t xml:space="preserve"> </w:t>
      </w:r>
      <w:r>
        <w:rPr>
          <w:shd w:val="clear" w:color="auto" w:fill="FFFFFF"/>
        </w:rPr>
        <w:t>«</w:t>
      </w:r>
      <w:r>
        <w:rPr>
          <w:color w:val="800000"/>
          <w:shd w:val="clear" w:color="auto" w:fill="FFFFFF"/>
        </w:rPr>
        <w:t>υπεύθυνος επεξεργασίας</w:t>
      </w:r>
      <w:r>
        <w:rPr>
          <w:shd w:val="clear" w:color="auto" w:fill="FFFFFF"/>
        </w:rPr>
        <w:t>»</w:t>
      </w:r>
      <w:r>
        <w:rPr>
          <w:rFonts w:ascii="Verdana" w:hAnsi="Verdana"/>
          <w:color w:val="000000"/>
          <w:sz w:val="21"/>
          <w:szCs w:val="21"/>
          <w:shd w:val="clear" w:color="auto" w:fill="FFFFFF"/>
        </w:rPr>
        <w:t xml:space="preserve"> </w:t>
      </w:r>
      <w:r>
        <w:rPr>
          <w:color w:val="000000"/>
          <w:shd w:val="clear" w:color="auto" w:fill="FFFFFF"/>
        </w:rPr>
        <w:t>είναι το φυσικό ή νομικό πρόσωπο, η δημόσια αρχή, η υπηρεσία ή άλλος φορέας που, μόνα ή από κοινού με άλλα, καθορίζουν τους σκοπούς και τον τρόπο της επεξεργασίας δεδομένων προσωπικού χαρακτήρα· όταν οι σκοποί και ο τρόπος της επεξεργασίας αυτής καθορίζονται από το δίκαιο της Ένωσης ή το δίκαιο κράτους μέλους, ο υπεύθυνος επεξεργασίας ή τα ειδικά κριτήρια για τον διορισμό του μπορούν να προβλέπονται από το δίκαιο της Ένωσης ή το δίκαιο κράτους μέλους</w:t>
      </w:r>
    </w:p>
  </w:footnote>
  <w:footnote w:id="2">
    <w:p w14:paraId="40D721E6" w14:textId="77777777" w:rsidR="009C3936" w:rsidRDefault="00000000">
      <w:pPr>
        <w:pStyle w:val="FootnoteText"/>
        <w:spacing w:before="0" w:line="240" w:lineRule="auto"/>
      </w:pPr>
      <w:r>
        <w:rPr>
          <w:rStyle w:val="FootnoteReference"/>
        </w:rPr>
        <w:footnoteRef/>
      </w:r>
      <w:r>
        <w:t xml:space="preserve"> </w:t>
      </w:r>
      <w:r>
        <w:rPr>
          <w:color w:val="000000"/>
          <w:shd w:val="clear" w:color="auto" w:fill="FFFFFF"/>
        </w:rPr>
        <w:t>«</w:t>
      </w:r>
      <w:r>
        <w:rPr>
          <w:color w:val="800000"/>
          <w:shd w:val="clear" w:color="auto" w:fill="FFFFFF"/>
        </w:rPr>
        <w:t>εκτελών την επεξεργασία</w:t>
      </w:r>
      <w:r>
        <w:rPr>
          <w:color w:val="000000"/>
          <w:shd w:val="clear" w:color="auto" w:fill="FFFFFF"/>
        </w:rPr>
        <w:t>» είναι το φυσικό ή νομικό πρόσωπο, η δημόσια αρχή, η υπηρεσία ή άλλος φορέας που επεξεργάζεται δεδομένα προσωπικού χαρακτήρα για λογαριασμό του υπευθύνου της επεξεργασίας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C71E" w14:textId="77777777" w:rsidR="00DF0647" w:rsidRDefault="00000000">
    <w:pPr>
      <w:pStyle w:val="Header"/>
      <w:tabs>
        <w:tab w:val="clear" w:pos="9026"/>
      </w:tabs>
    </w:pPr>
    <w:r>
      <w:rPr>
        <w:noProof/>
      </w:rPr>
      <mc:AlternateContent>
        <mc:Choice Requires="wps">
          <w:drawing>
            <wp:anchor distT="0" distB="0" distL="114300" distR="114300" simplePos="0" relativeHeight="251661312" behindDoc="0" locked="0" layoutInCell="1" allowOverlap="1" wp14:anchorId="0B9BE9D2" wp14:editId="7765C513">
              <wp:simplePos x="0" y="0"/>
              <wp:positionH relativeFrom="column">
                <wp:posOffset>1534600</wp:posOffset>
              </wp:positionH>
              <wp:positionV relativeFrom="paragraph">
                <wp:posOffset>583506</wp:posOffset>
              </wp:positionV>
              <wp:extent cx="666753" cy="6986"/>
              <wp:effectExtent l="0" t="0" r="19047" b="31114"/>
              <wp:wrapNone/>
              <wp:docPr id="1" name="Straight Connector 6"/>
              <wp:cNvGraphicFramePr/>
              <a:graphic xmlns:a="http://schemas.openxmlformats.org/drawingml/2006/main">
                <a:graphicData uri="http://schemas.microsoft.com/office/word/2010/wordprocessingShape">
                  <wps:wsp>
                    <wps:cNvCnPr/>
                    <wps:spPr>
                      <a:xfrm flipV="1">
                        <a:off x="0" y="0"/>
                        <a:ext cx="666753" cy="6986"/>
                      </a:xfrm>
                      <a:prstGeom prst="straightConnector1">
                        <a:avLst/>
                      </a:prstGeom>
                      <a:noFill/>
                      <a:ln w="6345" cap="flat">
                        <a:solidFill>
                          <a:srgbClr val="4472C4"/>
                        </a:solidFill>
                        <a:prstDash val="solid"/>
                        <a:miter/>
                      </a:ln>
                    </wps:spPr>
                    <wps:bodyPr/>
                  </wps:wsp>
                </a:graphicData>
              </a:graphic>
            </wp:anchor>
          </w:drawing>
        </mc:Choice>
        <mc:Fallback>
          <w:pict>
            <v:shapetype w14:anchorId="1C04E5C6" id="_x0000_t32" coordsize="21600,21600" o:spt="32" o:oned="t" path="m,l21600,21600e" filled="f">
              <v:path arrowok="t" fillok="f" o:connecttype="none"/>
              <o:lock v:ext="edit" shapetype="t"/>
            </v:shapetype>
            <v:shape id="Straight Connector 6" o:spid="_x0000_s1026" type="#_x0000_t32" style="position:absolute;margin-left:120.85pt;margin-top:45.95pt;width:52.5pt;height:.5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" strokecolor="#4472c4" strokeweight=".17625mm">
              <v:stroke joinstyle="miter"/>
            </v:shape>
          </w:pict>
        </mc:Fallback>
      </mc:AlternateContent>
    </w:r>
    <w:r>
      <w:rPr>
        <w:noProof/>
      </w:rPr>
      <mc:AlternateContent>
        <mc:Choice Requires="wps">
          <w:drawing>
            <wp:anchor distT="0" distB="0" distL="114300" distR="114300" simplePos="0" relativeHeight="251660288" behindDoc="0" locked="0" layoutInCell="1" allowOverlap="1" wp14:anchorId="1646550D" wp14:editId="2339A3F9">
              <wp:simplePos x="0" y="0"/>
              <wp:positionH relativeFrom="column">
                <wp:posOffset>3506303</wp:posOffset>
              </wp:positionH>
              <wp:positionV relativeFrom="paragraph">
                <wp:posOffset>575943</wp:posOffset>
              </wp:positionV>
              <wp:extent cx="666753" cy="6987"/>
              <wp:effectExtent l="0" t="0" r="19047" b="31113"/>
              <wp:wrapNone/>
              <wp:docPr id="2" name="Straight Connector 5"/>
              <wp:cNvGraphicFramePr/>
              <a:graphic xmlns:a="http://schemas.openxmlformats.org/drawingml/2006/main">
                <a:graphicData uri="http://schemas.microsoft.com/office/word/2010/wordprocessingShape">
                  <wps:wsp>
                    <wps:cNvCnPr/>
                    <wps:spPr>
                      <a:xfrm flipV="1">
                        <a:off x="0" y="0"/>
                        <a:ext cx="666753" cy="6987"/>
                      </a:xfrm>
                      <a:prstGeom prst="straightConnector1">
                        <a:avLst/>
                      </a:prstGeom>
                      <a:noFill/>
                      <a:ln w="6345" cap="flat">
                        <a:solidFill>
                          <a:srgbClr val="4472C4"/>
                        </a:solidFill>
                        <a:prstDash val="solid"/>
                        <a:miter/>
                      </a:ln>
                    </wps:spPr>
                    <wps:bodyPr/>
                  </wps:wsp>
                </a:graphicData>
              </a:graphic>
            </wp:anchor>
          </w:drawing>
        </mc:Choice>
        <mc:Fallback>
          <w:pict>
            <v:shape w14:anchorId="323BE320" id="Straight Connector 5" o:spid="_x0000_s1026" type="#_x0000_t32" style="position:absolute;margin-left:276.1pt;margin-top:45.35pt;width:52.5pt;height:.5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" strokecolor="#4472c4" strokeweight=".17625mm">
              <v:stroke joinstyle="miter"/>
            </v:shape>
          </w:pict>
        </mc:Fallback>
      </mc:AlternateContent>
    </w:r>
    <w:r>
      <w:rPr>
        <w:noProof/>
      </w:rPr>
      <w:drawing>
        <wp:anchor distT="0" distB="0" distL="114300" distR="114300" simplePos="0" relativeHeight="251659264" behindDoc="0" locked="0" layoutInCell="1" allowOverlap="1" wp14:anchorId="75544F89" wp14:editId="3E7C30EF">
          <wp:simplePos x="0" y="0"/>
          <wp:positionH relativeFrom="margin">
            <wp:align>center</wp:align>
          </wp:positionH>
          <wp:positionV relativeFrom="paragraph">
            <wp:posOffset>-12728</wp:posOffset>
          </wp:positionV>
          <wp:extent cx="1192697" cy="1346636"/>
          <wp:effectExtent l="0" t="0" r="7453" b="5914"/>
          <wp:wrapTopAndBottom/>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92697" cy="1346636"/>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0306D"/>
    <w:multiLevelType w:val="multilevel"/>
    <w:tmpl w:val="07F826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0F511FE"/>
    <w:multiLevelType w:val="multilevel"/>
    <w:tmpl w:val="FDF093D4"/>
    <w:styleLink w:val="WWOutlineListStyle12"/>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25A43935"/>
    <w:multiLevelType w:val="multilevel"/>
    <w:tmpl w:val="B3CC0DA8"/>
    <w:styleLink w:val="WWOutlineListStyle16"/>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36C72CE1"/>
    <w:multiLevelType w:val="multilevel"/>
    <w:tmpl w:val="BB8A47C4"/>
    <w:styleLink w:val="WWOutlineListStyle14"/>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89B6228"/>
    <w:multiLevelType w:val="multilevel"/>
    <w:tmpl w:val="C4125D7A"/>
    <w:styleLink w:val="WWOutlineListStyle"/>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39040A08"/>
    <w:multiLevelType w:val="multilevel"/>
    <w:tmpl w:val="14CACDB4"/>
    <w:styleLink w:val="WWOutlineListStyle11"/>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6" w15:restartNumberingAfterBreak="0">
    <w:nsid w:val="3D1B671E"/>
    <w:multiLevelType w:val="multilevel"/>
    <w:tmpl w:val="8534BC76"/>
    <w:styleLink w:val="WWOutlineListStyle4"/>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7" w15:restartNumberingAfterBreak="0">
    <w:nsid w:val="421D0F4F"/>
    <w:multiLevelType w:val="multilevel"/>
    <w:tmpl w:val="EABE3542"/>
    <w:styleLink w:val="WWOutlineListStyle3"/>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8" w15:restartNumberingAfterBreak="0">
    <w:nsid w:val="445C52FE"/>
    <w:multiLevelType w:val="multilevel"/>
    <w:tmpl w:val="4E266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9614E65"/>
    <w:multiLevelType w:val="multilevel"/>
    <w:tmpl w:val="5E74EFDA"/>
    <w:styleLink w:val="WWOutlineListStyle13"/>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10" w15:restartNumberingAfterBreak="0">
    <w:nsid w:val="4CDF4EEB"/>
    <w:multiLevelType w:val="multilevel"/>
    <w:tmpl w:val="CC9E40A6"/>
    <w:styleLink w:val="WWOutlineListStyle6"/>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11" w15:restartNumberingAfterBreak="0">
    <w:nsid w:val="557113FA"/>
    <w:multiLevelType w:val="multilevel"/>
    <w:tmpl w:val="093EED72"/>
    <w:styleLink w:val="WWOutlineListStyle7"/>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12" w15:restartNumberingAfterBreak="0">
    <w:nsid w:val="5A621DA4"/>
    <w:multiLevelType w:val="multilevel"/>
    <w:tmpl w:val="92A8CFCA"/>
    <w:styleLink w:val="WWOutlineListStyle17"/>
    <w:lvl w:ilvl="0">
      <w:start w:val="1"/>
      <w:numFmt w:val="decimal"/>
      <w:pStyle w:val="Heading1"/>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Heading2"/>
      <w:lvlText w:val="%1.%2"/>
      <w:lvlJc w:val="left"/>
      <w:pPr>
        <w:ind w:left="576" w:hanging="576"/>
      </w:pPr>
      <w:rPr>
        <w:sz w:val="40"/>
        <w:szCs w:val="40"/>
        <w:u w:val="none"/>
        <w:lang w:val="el-GR"/>
      </w:rPr>
    </w:lvl>
    <w:lvl w:ilvl="2">
      <w:start w:val="1"/>
      <w:numFmt w:val="decimal"/>
      <w:pStyle w:val="Heading3"/>
      <w:lvlText w:val="%1.%2.%3"/>
      <w:lvlJc w:val="left"/>
      <w:pPr>
        <w:ind w:left="720" w:hanging="720"/>
      </w:pPr>
      <w:rPr>
        <w:u w:val="none"/>
      </w:rPr>
    </w:lvl>
    <w:lvl w:ilvl="3">
      <w:start w:val="1"/>
      <w:numFmt w:val="decimal"/>
      <w:pStyle w:val="Heading4"/>
      <w:lvlText w:val="%1.%2.%3.%4"/>
      <w:lvlJc w:val="left"/>
      <w:pPr>
        <w:ind w:left="864" w:hanging="864"/>
      </w:pPr>
      <w:rPr>
        <w:u w:val="none"/>
      </w:rPr>
    </w:lvl>
    <w:lvl w:ilvl="4">
      <w:start w:val="1"/>
      <w:numFmt w:val="decimal"/>
      <w:pStyle w:val="Heading5"/>
      <w:lvlText w:val="%1.%2.%3.%4.%5"/>
      <w:lvlJc w:val="left"/>
      <w:pPr>
        <w:ind w:left="1008" w:hanging="1008"/>
      </w:pPr>
      <w:rPr>
        <w:u w:val="none"/>
      </w:rPr>
    </w:lvl>
    <w:lvl w:ilvl="5">
      <w:start w:val="1"/>
      <w:numFmt w:val="decimal"/>
      <w:pStyle w:val="Heading6"/>
      <w:lvlText w:val="%1.%2.%3.%4.%5.%6"/>
      <w:lvlJc w:val="left"/>
      <w:pPr>
        <w:ind w:left="1152" w:hanging="1152"/>
      </w:pPr>
      <w:rPr>
        <w:u w:val="none"/>
      </w:rPr>
    </w:lvl>
    <w:lvl w:ilvl="6">
      <w:start w:val="1"/>
      <w:numFmt w:val="decimal"/>
      <w:pStyle w:val="Heading7"/>
      <w:lvlText w:val="%1.%2.%3.%4.%5.%6.%7"/>
      <w:lvlJc w:val="left"/>
      <w:pPr>
        <w:ind w:left="1296" w:hanging="1296"/>
      </w:pPr>
      <w:rPr>
        <w:u w:val="none"/>
      </w:rPr>
    </w:lvl>
    <w:lvl w:ilvl="7">
      <w:start w:val="1"/>
      <w:numFmt w:val="decimal"/>
      <w:pStyle w:val="Heading8"/>
      <w:lvlText w:val="%1.%2.%3.%4.%5.%6.%7.%8"/>
      <w:lvlJc w:val="left"/>
      <w:pPr>
        <w:ind w:left="1440" w:hanging="1440"/>
      </w:pPr>
      <w:rPr>
        <w:u w:val="none"/>
      </w:rPr>
    </w:lvl>
    <w:lvl w:ilvl="8">
      <w:start w:val="1"/>
      <w:numFmt w:val="decimal"/>
      <w:pStyle w:val="Heading9"/>
      <w:lvlText w:val="%1.%2.%3.%4.%5.%6.%7.%8.%9"/>
      <w:lvlJc w:val="left"/>
      <w:pPr>
        <w:ind w:left="1584" w:hanging="1584"/>
      </w:pPr>
      <w:rPr>
        <w:u w:val="none"/>
      </w:rPr>
    </w:lvl>
  </w:abstractNum>
  <w:abstractNum w:abstractNumId="13" w15:restartNumberingAfterBreak="0">
    <w:nsid w:val="5CB261E0"/>
    <w:multiLevelType w:val="hybridMultilevel"/>
    <w:tmpl w:val="3A8445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DCA5485"/>
    <w:multiLevelType w:val="multilevel"/>
    <w:tmpl w:val="5CF83106"/>
    <w:lvl w:ilvl="0">
      <w:numFmt w:val="bullet"/>
      <w:lvlText w:val=""/>
      <w:lvlJc w:val="left"/>
      <w:pPr>
        <w:ind w:left="1080" w:hanging="360"/>
      </w:pPr>
      <w:rPr>
        <w:rFonts w:ascii="Wingdings" w:hAnsi="Wingdings"/>
        <w:color w:val="5B9BD5"/>
      </w:rPr>
    </w:lvl>
    <w:lvl w:ilvl="1">
      <w:numFmt w:val="bullet"/>
      <w:lvlText w:val="•"/>
      <w:lvlJc w:val="left"/>
      <w:pPr>
        <w:ind w:left="1800" w:hanging="360"/>
      </w:pPr>
      <w:rPr>
        <w:rFonts w:ascii="Bodoni MT" w:eastAsia="Times New Roman" w:hAnsi="Bodoni MT" w:cs="Times New Roman"/>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5E250416"/>
    <w:multiLevelType w:val="multilevel"/>
    <w:tmpl w:val="FC222AC0"/>
    <w:styleLink w:val="WWOutlineListStyle15"/>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16" w15:restartNumberingAfterBreak="0">
    <w:nsid w:val="60E161C3"/>
    <w:multiLevelType w:val="multilevel"/>
    <w:tmpl w:val="8E6EA41E"/>
    <w:styleLink w:val="LFO1"/>
    <w:lvl w:ilvl="0">
      <w:numFmt w:val="bullet"/>
      <w:pStyle w:val="ListBullet"/>
      <w:lvlText w:val=""/>
      <w:lvlJc w:val="left"/>
      <w:pPr>
        <w:ind w:left="720" w:hanging="360"/>
      </w:pPr>
      <w:rPr>
        <w:rFonts w:ascii="Wingdings" w:hAnsi="Wingdings"/>
        <w:b w:val="0"/>
        <w:i w:val="0"/>
        <w:strike w:val="0"/>
        <w:dstrike w:val="0"/>
        <w:vanish w:val="0"/>
        <w:color w:val="0070C0"/>
        <w:spacing w:val="0"/>
        <w:w w:val="100"/>
        <w:position w:val="0"/>
        <w:sz w:val="28"/>
        <w:u w:val="none" w:color="800000"/>
        <w:vertAlign w:val="baseline"/>
        <w:lang w:val="el-GR"/>
      </w:rPr>
    </w:lvl>
    <w:lvl w:ilvl="1">
      <w:numFmt w:val="bullet"/>
      <w:lvlText w:val="•"/>
      <w:lvlJc w:val="left"/>
      <w:pPr>
        <w:ind w:left="1800" w:hanging="720"/>
      </w:pPr>
      <w:rPr>
        <w:rFonts w:ascii="Arial Narrow" w:eastAsia="Times New Roman" w:hAnsi="Arial Narro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1902628"/>
    <w:multiLevelType w:val="multilevel"/>
    <w:tmpl w:val="F71ECEFE"/>
    <w:styleLink w:val="WWOutlineListStyle9"/>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18" w15:restartNumberingAfterBreak="0">
    <w:nsid w:val="70BB0AAA"/>
    <w:multiLevelType w:val="multilevel"/>
    <w:tmpl w:val="815E9280"/>
    <w:styleLink w:val="WWOutlineListStyle1"/>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19" w15:restartNumberingAfterBreak="0">
    <w:nsid w:val="71087D65"/>
    <w:multiLevelType w:val="multilevel"/>
    <w:tmpl w:val="9BFCA66E"/>
    <w:styleLink w:val="WWOutlineListStyle8"/>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0" w15:restartNumberingAfterBreak="0">
    <w:nsid w:val="770662B3"/>
    <w:multiLevelType w:val="multilevel"/>
    <w:tmpl w:val="56D49C8C"/>
    <w:styleLink w:val="WWOutlineListStyle5"/>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1" w15:restartNumberingAfterBreak="0">
    <w:nsid w:val="79A15AFD"/>
    <w:multiLevelType w:val="multilevel"/>
    <w:tmpl w:val="EADA6C56"/>
    <w:styleLink w:val="WWOutlineListStyle2"/>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2" w15:restartNumberingAfterBreak="0">
    <w:nsid w:val="7CFC13B1"/>
    <w:multiLevelType w:val="multilevel"/>
    <w:tmpl w:val="5CAC89D6"/>
    <w:styleLink w:val="WWOutlineListStyle10"/>
    <w:lvl w:ilvl="0">
      <w:start w:val="1"/>
      <w:numFmt w:val="decimal"/>
      <w:lvlText w:val="%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sz w:val="40"/>
        <w:szCs w:val="40"/>
        <w:u w:val="none"/>
        <w:lang w:val="el-GR"/>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3" w15:restartNumberingAfterBreak="0">
    <w:nsid w:val="7E902049"/>
    <w:multiLevelType w:val="multilevel"/>
    <w:tmpl w:val="8E8E7D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128886348">
    <w:abstractNumId w:val="12"/>
  </w:num>
  <w:num w:numId="2" w16cid:durableId="616716292">
    <w:abstractNumId w:val="2"/>
  </w:num>
  <w:num w:numId="3" w16cid:durableId="1183281467">
    <w:abstractNumId w:val="15"/>
  </w:num>
  <w:num w:numId="4" w16cid:durableId="1241796648">
    <w:abstractNumId w:val="3"/>
  </w:num>
  <w:num w:numId="5" w16cid:durableId="342391656">
    <w:abstractNumId w:val="9"/>
  </w:num>
  <w:num w:numId="6" w16cid:durableId="1236278331">
    <w:abstractNumId w:val="1"/>
  </w:num>
  <w:num w:numId="7" w16cid:durableId="2061202896">
    <w:abstractNumId w:val="5"/>
  </w:num>
  <w:num w:numId="8" w16cid:durableId="613826159">
    <w:abstractNumId w:val="22"/>
  </w:num>
  <w:num w:numId="9" w16cid:durableId="1194226408">
    <w:abstractNumId w:val="17"/>
  </w:num>
  <w:num w:numId="10" w16cid:durableId="613485350">
    <w:abstractNumId w:val="19"/>
  </w:num>
  <w:num w:numId="11" w16cid:durableId="2000302531">
    <w:abstractNumId w:val="11"/>
  </w:num>
  <w:num w:numId="12" w16cid:durableId="1338387097">
    <w:abstractNumId w:val="10"/>
  </w:num>
  <w:num w:numId="13" w16cid:durableId="364063517">
    <w:abstractNumId w:val="20"/>
  </w:num>
  <w:num w:numId="14" w16cid:durableId="1108157613">
    <w:abstractNumId w:val="6"/>
  </w:num>
  <w:num w:numId="15" w16cid:durableId="1427073430">
    <w:abstractNumId w:val="7"/>
  </w:num>
  <w:num w:numId="16" w16cid:durableId="1127119686">
    <w:abstractNumId w:val="21"/>
  </w:num>
  <w:num w:numId="17" w16cid:durableId="1364747859">
    <w:abstractNumId w:val="18"/>
  </w:num>
  <w:num w:numId="18" w16cid:durableId="996808740">
    <w:abstractNumId w:val="4"/>
  </w:num>
  <w:num w:numId="19" w16cid:durableId="1497332798">
    <w:abstractNumId w:val="16"/>
  </w:num>
  <w:num w:numId="20" w16cid:durableId="2105761759">
    <w:abstractNumId w:val="14"/>
  </w:num>
  <w:num w:numId="21" w16cid:durableId="1228030397">
    <w:abstractNumId w:val="8"/>
  </w:num>
  <w:num w:numId="22" w16cid:durableId="107236310">
    <w:abstractNumId w:val="23"/>
  </w:num>
  <w:num w:numId="23" w16cid:durableId="1409887981">
    <w:abstractNumId w:val="0"/>
  </w:num>
  <w:num w:numId="24" w16cid:durableId="1687640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9C3936"/>
    <w:rsid w:val="006B1002"/>
    <w:rsid w:val="009C3936"/>
    <w:rsid w:val="00E10B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53B6E"/>
  <w15:docId w15:val="{E88C26CC-24D9-46CD-A98E-74D55D30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l-GR"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numPr>
        <w:numId w:val="1"/>
      </w:numPr>
      <w:spacing w:before="480" w:after="0" w:line="276" w:lineRule="auto"/>
      <w:outlineLvl w:val="0"/>
    </w:pPr>
    <w:rPr>
      <w:rFonts w:ascii="Georgia" w:eastAsia="Georgia" w:hAnsi="Georgia" w:cs="Georgia"/>
      <w:sz w:val="48"/>
      <w:szCs w:val="48"/>
      <w:lang w:eastAsia="el-GR"/>
    </w:rPr>
  </w:style>
  <w:style w:type="paragraph" w:styleId="Heading2">
    <w:name w:val="heading 2"/>
    <w:basedOn w:val="Normal"/>
    <w:next w:val="Normal"/>
    <w:uiPriority w:val="9"/>
    <w:semiHidden/>
    <w:unhideWhenUsed/>
    <w:qFormat/>
    <w:pPr>
      <w:keepNext/>
      <w:keepLines/>
      <w:numPr>
        <w:ilvl w:val="1"/>
        <w:numId w:val="1"/>
      </w:numPr>
      <w:spacing w:before="360" w:after="0" w:line="276" w:lineRule="auto"/>
      <w:outlineLvl w:val="1"/>
    </w:pPr>
    <w:rPr>
      <w:rFonts w:ascii="Georgia" w:eastAsia="Georgia" w:hAnsi="Georgia" w:cs="Georgia"/>
      <w:sz w:val="40"/>
      <w:szCs w:val="40"/>
      <w:lang w:eastAsia="el-GR"/>
    </w:rPr>
  </w:style>
  <w:style w:type="paragraph" w:styleId="Heading3">
    <w:name w:val="heading 3"/>
    <w:basedOn w:val="Normal"/>
    <w:next w:val="Normal"/>
    <w:uiPriority w:val="9"/>
    <w:semiHidden/>
    <w:unhideWhenUsed/>
    <w:qFormat/>
    <w:pPr>
      <w:keepNext/>
      <w:keepLines/>
      <w:numPr>
        <w:ilvl w:val="2"/>
        <w:numId w:val="1"/>
      </w:numPr>
      <w:spacing w:before="360" w:after="0" w:line="360" w:lineRule="auto"/>
      <w:outlineLvl w:val="2"/>
    </w:pPr>
    <w:rPr>
      <w:rFonts w:ascii="Georgia" w:eastAsia="Georgia" w:hAnsi="Georgia" w:cs="Georgia"/>
      <w:sz w:val="32"/>
      <w:szCs w:val="32"/>
      <w:lang w:eastAsia="el-GR"/>
    </w:rPr>
  </w:style>
  <w:style w:type="paragraph" w:styleId="Heading4">
    <w:name w:val="heading 4"/>
    <w:basedOn w:val="Heading3"/>
    <w:next w:val="Normal"/>
    <w:uiPriority w:val="9"/>
    <w:semiHidden/>
    <w:unhideWhenUsed/>
    <w:qFormat/>
    <w:pPr>
      <w:numPr>
        <w:ilvl w:val="3"/>
      </w:numPr>
      <w:spacing w:before="280" w:line="300" w:lineRule="atLeast"/>
      <w:outlineLvl w:val="3"/>
    </w:pPr>
    <w:rPr>
      <w:i/>
      <w:sz w:val="28"/>
      <w:szCs w:val="28"/>
    </w:rPr>
  </w:style>
  <w:style w:type="paragraph" w:styleId="Heading5">
    <w:name w:val="heading 5"/>
    <w:basedOn w:val="Heading3"/>
    <w:next w:val="Normal"/>
    <w:uiPriority w:val="9"/>
    <w:semiHidden/>
    <w:unhideWhenUsed/>
    <w:qFormat/>
    <w:pPr>
      <w:numPr>
        <w:ilvl w:val="4"/>
      </w:numPr>
      <w:outlineLvl w:val="4"/>
    </w:pPr>
  </w:style>
  <w:style w:type="paragraph" w:styleId="Heading6">
    <w:name w:val="heading 6"/>
    <w:basedOn w:val="Heading5"/>
    <w:next w:val="Normal"/>
    <w:uiPriority w:val="9"/>
    <w:semiHidden/>
    <w:unhideWhenUsed/>
    <w:qFormat/>
    <w:pPr>
      <w:numPr>
        <w:ilvl w:val="5"/>
      </w:numPr>
      <w:outlineLvl w:val="5"/>
    </w:pPr>
    <w:rPr>
      <w:sz w:val="24"/>
      <w:szCs w:val="24"/>
    </w:rPr>
  </w:style>
  <w:style w:type="paragraph" w:styleId="Heading7">
    <w:name w:val="heading 7"/>
    <w:basedOn w:val="Normal"/>
    <w:next w:val="Normal"/>
    <w:pPr>
      <w:keepNext/>
      <w:keepLines/>
      <w:numPr>
        <w:ilvl w:val="6"/>
        <w:numId w:val="1"/>
      </w:numPr>
      <w:spacing w:before="40" w:after="0" w:line="276" w:lineRule="auto"/>
      <w:outlineLvl w:val="6"/>
    </w:pPr>
    <w:rPr>
      <w:rFonts w:ascii="Calibri Light" w:eastAsia="Times New Roman" w:hAnsi="Calibri Light"/>
      <w:i/>
      <w:iCs/>
      <w:color w:val="1F3763"/>
      <w:sz w:val="20"/>
    </w:rPr>
  </w:style>
  <w:style w:type="paragraph" w:styleId="Heading8">
    <w:name w:val="heading 8"/>
    <w:basedOn w:val="Normal"/>
    <w:next w:val="Normal"/>
    <w:pPr>
      <w:keepNext/>
      <w:keepLines/>
      <w:numPr>
        <w:ilvl w:val="7"/>
        <w:numId w:val="1"/>
      </w:numPr>
      <w:spacing w:before="40" w:after="0" w:line="276" w:lineRule="auto"/>
      <w:outlineLvl w:val="7"/>
    </w:pPr>
    <w:rPr>
      <w:rFonts w:ascii="Calibri Light" w:eastAsia="Times New Roman" w:hAnsi="Calibri Light"/>
      <w:color w:val="272727"/>
      <w:sz w:val="21"/>
      <w:szCs w:val="21"/>
    </w:rPr>
  </w:style>
  <w:style w:type="paragraph" w:styleId="Heading9">
    <w:name w:val="heading 9"/>
    <w:basedOn w:val="Normal"/>
    <w:next w:val="Normal"/>
    <w:pPr>
      <w:keepNext/>
      <w:keepLines/>
      <w:numPr>
        <w:ilvl w:val="8"/>
        <w:numId w:val="1"/>
      </w:numPr>
      <w:spacing w:before="40" w:after="0" w:line="276" w:lineRule="auto"/>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7">
    <w:name w:val="WW_OutlineListStyle_17"/>
    <w:basedOn w:val="NoList"/>
    <w:pPr>
      <w:numPr>
        <w:numId w:val="1"/>
      </w:numPr>
    </w:pPr>
  </w:style>
  <w:style w:type="paragraph" w:styleId="BodyTextIndent2">
    <w:name w:val="Body Text Indent 2"/>
    <w:basedOn w:val="Normal"/>
    <w:pPr>
      <w:suppressAutoHyphens w:val="0"/>
      <w:spacing w:after="0"/>
      <w:ind w:firstLine="720"/>
      <w:jc w:val="both"/>
      <w:textAlignment w:val="auto"/>
    </w:pPr>
    <w:rPr>
      <w:rFonts w:ascii="Arial" w:eastAsia="Times New Roman" w:hAnsi="Arial" w:cs="Arial"/>
      <w:sz w:val="24"/>
      <w:szCs w:val="24"/>
    </w:rPr>
  </w:style>
  <w:style w:type="character" w:customStyle="1" w:styleId="BodyTextIndent2Char">
    <w:name w:val="Body Text Indent 2 Char"/>
    <w:basedOn w:val="DefaultParagraphFont"/>
    <w:rPr>
      <w:rFonts w:ascii="Arial" w:eastAsia="Times New Roman" w:hAnsi="Arial" w:cs="Arial"/>
      <w:sz w:val="24"/>
      <w:szCs w:val="24"/>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Strong">
    <w:name w:val="Strong"/>
    <w:basedOn w:val="DefaultParagraphFont"/>
    <w:rPr>
      <w:b/>
      <w:bCs/>
    </w:rPr>
  </w:style>
  <w:style w:type="paragraph" w:styleId="Revision">
    <w:name w:val="Revision"/>
    <w:pPr>
      <w:spacing w:after="0"/>
      <w:textAlignment w:val="auto"/>
    </w:pPr>
  </w:style>
  <w:style w:type="paragraph" w:styleId="ListParagraph">
    <w:name w:val="List Paragraph"/>
    <w:basedOn w:val="Normal"/>
    <w:pPr>
      <w:ind w:left="720"/>
    </w:pPr>
  </w:style>
  <w:style w:type="paragraph" w:styleId="ListBullet">
    <w:name w:val="List Bullet"/>
    <w:basedOn w:val="Normal"/>
    <w:pPr>
      <w:numPr>
        <w:numId w:val="19"/>
      </w:numPr>
      <w:tabs>
        <w:tab w:val="left" w:pos="-12534"/>
      </w:tabs>
      <w:spacing w:before="160" w:after="0" w:line="276" w:lineRule="auto"/>
    </w:pPr>
    <w:rPr>
      <w:rFonts w:ascii="Arial" w:eastAsia="Times New Roman" w:hAnsi="Arial" w:cs="Arial"/>
      <w:sz w:val="20"/>
      <w:lang w:eastAsia="el-GR"/>
    </w:rPr>
  </w:style>
  <w:style w:type="character" w:customStyle="1" w:styleId="ListBulletChar">
    <w:name w:val="List Bullet Char"/>
    <w:rPr>
      <w:rFonts w:ascii="Arial" w:eastAsia="Times New Roman" w:hAnsi="Arial" w:cs="Arial"/>
      <w:sz w:val="20"/>
      <w:lang w:val="el-GR" w:eastAsia="el-GR"/>
    </w:rPr>
  </w:style>
  <w:style w:type="paragraph" w:styleId="FootnoteText">
    <w:name w:val="footnote text"/>
    <w:basedOn w:val="Normal"/>
    <w:pPr>
      <w:spacing w:before="240" w:after="0" w:line="276" w:lineRule="auto"/>
      <w:jc w:val="both"/>
    </w:pPr>
    <w:rPr>
      <w:rFonts w:ascii="Arial" w:eastAsia="Times New Roman" w:hAnsi="Arial" w:cs="Arial"/>
      <w:sz w:val="20"/>
      <w:szCs w:val="20"/>
      <w:lang w:eastAsia="el-GR"/>
    </w:rPr>
  </w:style>
  <w:style w:type="character" w:customStyle="1" w:styleId="FootnoteTextChar">
    <w:name w:val="Footnote Text Char"/>
    <w:basedOn w:val="DefaultParagraphFont"/>
    <w:rPr>
      <w:sz w:val="20"/>
      <w:szCs w:val="20"/>
    </w:rPr>
  </w:style>
  <w:style w:type="character" w:styleId="FootnoteReference">
    <w:name w:val="footnote reference"/>
    <w:rPr>
      <w:rFonts w:cs="Times New Roman"/>
      <w:position w:val="0"/>
      <w:vertAlign w:val="superscript"/>
    </w:rPr>
  </w:style>
  <w:style w:type="character" w:customStyle="1" w:styleId="FootnoteTextChar1">
    <w:name w:val="Footnote Text Char1"/>
    <w:rPr>
      <w:rFonts w:ascii="Arial" w:eastAsia="Times New Roman" w:hAnsi="Arial" w:cs="Arial"/>
      <w:sz w:val="20"/>
      <w:szCs w:val="20"/>
      <w:lang w:val="el-GR" w:eastAsia="el-GR"/>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character" w:customStyle="1" w:styleId="Heading1Char">
    <w:name w:val="Heading 1 Char"/>
    <w:basedOn w:val="DefaultParagraphFont"/>
    <w:rPr>
      <w:rFonts w:ascii="Georgia" w:eastAsia="Georgia" w:hAnsi="Georgia" w:cs="Georgia"/>
      <w:sz w:val="48"/>
      <w:szCs w:val="48"/>
      <w:lang w:val="el-GR" w:eastAsia="el-GR"/>
    </w:rPr>
  </w:style>
  <w:style w:type="character" w:customStyle="1" w:styleId="Heading2Char">
    <w:name w:val="Heading 2 Char"/>
    <w:basedOn w:val="DefaultParagraphFont"/>
    <w:rPr>
      <w:rFonts w:ascii="Georgia" w:eastAsia="Georgia" w:hAnsi="Georgia" w:cs="Georgia"/>
      <w:sz w:val="40"/>
      <w:szCs w:val="40"/>
      <w:lang w:val="el-GR" w:eastAsia="el-GR"/>
    </w:rPr>
  </w:style>
  <w:style w:type="character" w:customStyle="1" w:styleId="Heading3Char">
    <w:name w:val="Heading 3 Char"/>
    <w:basedOn w:val="DefaultParagraphFont"/>
    <w:rPr>
      <w:rFonts w:ascii="Georgia" w:eastAsia="Georgia" w:hAnsi="Georgia" w:cs="Georgia"/>
      <w:sz w:val="32"/>
      <w:szCs w:val="32"/>
      <w:lang w:val="el-GR" w:eastAsia="el-GR"/>
    </w:rPr>
  </w:style>
  <w:style w:type="character" w:customStyle="1" w:styleId="Heading4Char">
    <w:name w:val="Heading 4 Char"/>
    <w:basedOn w:val="DefaultParagraphFont"/>
    <w:rPr>
      <w:rFonts w:ascii="Georgia" w:eastAsia="Georgia" w:hAnsi="Georgia" w:cs="Georgia"/>
      <w:i/>
      <w:sz w:val="28"/>
      <w:szCs w:val="28"/>
      <w:lang w:val="el-GR" w:eastAsia="el-GR"/>
    </w:rPr>
  </w:style>
  <w:style w:type="character" w:customStyle="1" w:styleId="Heading5Char">
    <w:name w:val="Heading 5 Char"/>
    <w:basedOn w:val="DefaultParagraphFont"/>
    <w:rPr>
      <w:rFonts w:ascii="Georgia" w:eastAsia="Georgia" w:hAnsi="Georgia" w:cs="Georgia"/>
      <w:sz w:val="32"/>
      <w:szCs w:val="32"/>
      <w:lang w:val="el-GR" w:eastAsia="el-GR"/>
    </w:rPr>
  </w:style>
  <w:style w:type="character" w:customStyle="1" w:styleId="Heading6Char">
    <w:name w:val="Heading 6 Char"/>
    <w:basedOn w:val="DefaultParagraphFont"/>
    <w:rPr>
      <w:rFonts w:ascii="Georgia" w:eastAsia="Georgia" w:hAnsi="Georgia" w:cs="Georgia"/>
      <w:sz w:val="24"/>
      <w:szCs w:val="24"/>
      <w:lang w:val="el-GR" w:eastAsia="el-GR"/>
    </w:rPr>
  </w:style>
  <w:style w:type="character" w:customStyle="1" w:styleId="Heading7Char">
    <w:name w:val="Heading 7 Char"/>
    <w:basedOn w:val="DefaultParagraphFont"/>
    <w:rPr>
      <w:rFonts w:ascii="Calibri Light" w:eastAsia="Times New Roman" w:hAnsi="Calibri Light" w:cs="Times New Roman"/>
      <w:i/>
      <w:iCs/>
      <w:color w:val="1F3763"/>
      <w:sz w:val="20"/>
      <w:lang w:val="el-GR"/>
    </w:rPr>
  </w:style>
  <w:style w:type="character" w:customStyle="1" w:styleId="Heading8Char">
    <w:name w:val="Heading 8 Char"/>
    <w:basedOn w:val="DefaultParagraphFont"/>
    <w:rPr>
      <w:rFonts w:ascii="Calibri Light" w:eastAsia="Times New Roman" w:hAnsi="Calibri Light" w:cs="Times New Roman"/>
      <w:color w:val="272727"/>
      <w:sz w:val="21"/>
      <w:szCs w:val="21"/>
      <w:lang w:val="el-GR"/>
    </w:rPr>
  </w:style>
  <w:style w:type="character" w:customStyle="1" w:styleId="Heading9Char">
    <w:name w:val="Heading 9 Char"/>
    <w:basedOn w:val="DefaultParagraphFont"/>
    <w:rPr>
      <w:rFonts w:ascii="Calibri Light" w:eastAsia="Times New Roman" w:hAnsi="Calibri Light" w:cs="Times New Roman"/>
      <w:i/>
      <w:iCs/>
      <w:color w:val="272727"/>
      <w:sz w:val="21"/>
      <w:szCs w:val="21"/>
      <w:lang w:val="el-GR"/>
    </w:rPr>
  </w:style>
  <w:style w:type="paragraph" w:styleId="NormalWeb">
    <w:name w:val="Normal (Web)"/>
    <w:basedOn w:val="Normal"/>
    <w:pPr>
      <w:spacing w:before="100" w:after="100"/>
    </w:pPr>
    <w:rPr>
      <w:rFonts w:ascii="Times New Roman" w:eastAsia="Times New Roman" w:hAnsi="Times New Roman"/>
      <w:sz w:val="24"/>
      <w:szCs w:val="24"/>
    </w:rPr>
  </w:style>
  <w:style w:type="paragraph" w:customStyle="1" w:styleId="indent1">
    <w:name w:val="indent1"/>
    <w:basedOn w:val="Normal"/>
    <w:pPr>
      <w:spacing w:before="100" w:after="100"/>
    </w:pPr>
    <w:rPr>
      <w:rFonts w:ascii="Times New Roman" w:eastAsia="Times New Roman" w:hAnsi="Times New Roman"/>
      <w:sz w:val="24"/>
      <w:szCs w:val="24"/>
    </w:rPr>
  </w:style>
  <w:style w:type="numbering" w:customStyle="1" w:styleId="WWOutlineListStyle16">
    <w:name w:val="WW_OutlineListStyle_16"/>
    <w:basedOn w:val="NoList"/>
    <w:pPr>
      <w:numPr>
        <w:numId w:val="2"/>
      </w:numPr>
    </w:pPr>
  </w:style>
  <w:style w:type="numbering" w:customStyle="1" w:styleId="WWOutlineListStyle15">
    <w:name w:val="WW_OutlineListStyle_15"/>
    <w:basedOn w:val="NoList"/>
    <w:pPr>
      <w:numPr>
        <w:numId w:val="3"/>
      </w:numPr>
    </w:pPr>
  </w:style>
  <w:style w:type="numbering" w:customStyle="1" w:styleId="WWOutlineListStyle14">
    <w:name w:val="WW_OutlineListStyle_14"/>
    <w:basedOn w:val="NoList"/>
    <w:pPr>
      <w:numPr>
        <w:numId w:val="4"/>
      </w:numPr>
    </w:pPr>
  </w:style>
  <w:style w:type="numbering" w:customStyle="1" w:styleId="WWOutlineListStyle13">
    <w:name w:val="WW_OutlineListStyle_13"/>
    <w:basedOn w:val="NoList"/>
    <w:pPr>
      <w:numPr>
        <w:numId w:val="5"/>
      </w:numPr>
    </w:pPr>
  </w:style>
  <w:style w:type="numbering" w:customStyle="1" w:styleId="WWOutlineListStyle12">
    <w:name w:val="WW_OutlineListStyle_12"/>
    <w:basedOn w:val="NoList"/>
    <w:pPr>
      <w:numPr>
        <w:numId w:val="6"/>
      </w:numPr>
    </w:pPr>
  </w:style>
  <w:style w:type="numbering" w:customStyle="1" w:styleId="WWOutlineListStyle11">
    <w:name w:val="WW_OutlineListStyle_11"/>
    <w:basedOn w:val="NoList"/>
    <w:pPr>
      <w:numPr>
        <w:numId w:val="7"/>
      </w:numPr>
    </w:pPr>
  </w:style>
  <w:style w:type="numbering" w:customStyle="1" w:styleId="WWOutlineListStyle10">
    <w:name w:val="WW_OutlineListStyle_10"/>
    <w:basedOn w:val="NoList"/>
    <w:pPr>
      <w:numPr>
        <w:numId w:val="8"/>
      </w:numPr>
    </w:pPr>
  </w:style>
  <w:style w:type="numbering" w:customStyle="1" w:styleId="WWOutlineListStyle9">
    <w:name w:val="WW_OutlineListStyle_9"/>
    <w:basedOn w:val="NoList"/>
    <w:pPr>
      <w:numPr>
        <w:numId w:val="9"/>
      </w:numPr>
    </w:pPr>
  </w:style>
  <w:style w:type="numbering" w:customStyle="1" w:styleId="WWOutlineListStyle8">
    <w:name w:val="WW_OutlineListStyle_8"/>
    <w:basedOn w:val="NoList"/>
    <w:pPr>
      <w:numPr>
        <w:numId w:val="10"/>
      </w:numPr>
    </w:pPr>
  </w:style>
  <w:style w:type="numbering" w:customStyle="1" w:styleId="WWOutlineListStyle7">
    <w:name w:val="WW_OutlineListStyle_7"/>
    <w:basedOn w:val="NoList"/>
    <w:pPr>
      <w:numPr>
        <w:numId w:val="11"/>
      </w:numPr>
    </w:pPr>
  </w:style>
  <w:style w:type="numbering" w:customStyle="1" w:styleId="WWOutlineListStyle6">
    <w:name w:val="WW_OutlineListStyle_6"/>
    <w:basedOn w:val="NoList"/>
    <w:pPr>
      <w:numPr>
        <w:numId w:val="12"/>
      </w:numPr>
    </w:pPr>
  </w:style>
  <w:style w:type="numbering" w:customStyle="1" w:styleId="WWOutlineListStyle5">
    <w:name w:val="WW_OutlineListStyle_5"/>
    <w:basedOn w:val="NoList"/>
    <w:pPr>
      <w:numPr>
        <w:numId w:val="13"/>
      </w:numPr>
    </w:pPr>
  </w:style>
  <w:style w:type="numbering" w:customStyle="1" w:styleId="WWOutlineListStyle4">
    <w:name w:val="WW_OutlineListStyle_4"/>
    <w:basedOn w:val="NoList"/>
    <w:pPr>
      <w:numPr>
        <w:numId w:val="14"/>
      </w:numPr>
    </w:pPr>
  </w:style>
  <w:style w:type="numbering" w:customStyle="1" w:styleId="WWOutlineListStyle3">
    <w:name w:val="WW_OutlineListStyle_3"/>
    <w:basedOn w:val="NoList"/>
    <w:pPr>
      <w:numPr>
        <w:numId w:val="15"/>
      </w:numPr>
    </w:pPr>
  </w:style>
  <w:style w:type="numbering" w:customStyle="1" w:styleId="WWOutlineListStyle2">
    <w:name w:val="WW_OutlineListStyle_2"/>
    <w:basedOn w:val="NoList"/>
    <w:pPr>
      <w:numPr>
        <w:numId w:val="16"/>
      </w:numPr>
    </w:pPr>
  </w:style>
  <w:style w:type="numbering" w:customStyle="1" w:styleId="WWOutlineListStyle1">
    <w:name w:val="WW_OutlineListStyle_1"/>
    <w:basedOn w:val="NoList"/>
    <w:pPr>
      <w:numPr>
        <w:numId w:val="17"/>
      </w:numPr>
    </w:pPr>
  </w:style>
  <w:style w:type="numbering" w:customStyle="1" w:styleId="WWOutlineListStyle">
    <w:name w:val="WW_OutlineListStyle"/>
    <w:basedOn w:val="NoList"/>
    <w:pPr>
      <w:numPr>
        <w:numId w:val="18"/>
      </w:numPr>
    </w:pPr>
  </w:style>
  <w:style w:type="numbering" w:customStyle="1" w:styleId="LFO1">
    <w:name w:val="LFO1"/>
    <w:basedOn w:val="NoList"/>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papalexandrou@papd.mof.gov.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2882</Words>
  <Characters>15567</Characters>
  <Application>Microsoft Office Word</Application>
  <DocSecurity>0</DocSecurity>
  <Lines>129</Lines>
  <Paragraphs>36</Paragraphs>
  <ScaleCrop>false</ScaleCrop>
  <Company/>
  <LinksUpToDate>false</LinksUpToDate>
  <CharactersWithSpaces>18413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Elpida Solonos</dc:creator>
  <dc:description/>
  <cp:lastModifiedBy>Maria Christodoulidou</cp:lastModifiedBy>
  <cp:revision>2</cp:revision>
  <cp:lastPrinted>2022-07-11T09:38:00Z</cp:lastPrinted>
  <dcterms:created xsi:type="dcterms:W3CDTF">2023-02-20T12:46:00Z</dcterms:created>
  <dcterms:modified xsi:type="dcterms:W3CDTF">2023-02-20T12:46:00Z</dcterms:modified>
</cp:coreProperties>
</file>